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607FF8" w14:textId="77777777" w:rsidR="00017B99" w:rsidRPr="001328BD" w:rsidRDefault="00000000">
      <w:pPr>
        <w:pStyle w:val="BIEmailAddress"/>
        <w:jc w:val="center"/>
        <w:rPr>
          <w:rFonts w:ascii="Minion Pro" w:hAnsi="Minion Pro"/>
          <w:b/>
          <w:szCs w:val="24"/>
          <w:lang w:eastAsia="zh-CN"/>
        </w:rPr>
      </w:pPr>
      <w:r w:rsidRPr="001328BD">
        <w:rPr>
          <w:rFonts w:ascii="Minion Pro" w:hAnsi="Minion Pro"/>
          <w:b/>
          <w:szCs w:val="24"/>
          <w:lang w:eastAsia="zh-CN"/>
        </w:rPr>
        <w:t>Table of content</w:t>
      </w:r>
    </w:p>
    <w:p w14:paraId="031A15EE" w14:textId="77777777" w:rsidR="00017B99" w:rsidRDefault="00000000">
      <w:pPr>
        <w:pStyle w:val="TSP31text"/>
        <w:ind w:firstLine="0"/>
      </w:pPr>
      <w:r w:rsidRPr="0045013E">
        <w:rPr>
          <w:b/>
          <w:bCs/>
        </w:rPr>
        <w:t>Figure S1.</w:t>
      </w:r>
      <w:r>
        <w:t xml:space="preserve"> The structural and compositional analysis of the products with </w:t>
      </w:r>
      <w:r>
        <w:rPr>
          <w:rFonts w:ascii="Times New Roman" w:hAnsi="Times New Roman"/>
        </w:rPr>
        <w:t>PbI</w:t>
      </w:r>
      <w:r>
        <w:rPr>
          <w:rFonts w:ascii="Times New Roman" w:hAnsi="Times New Roman"/>
          <w:vertAlign w:val="subscript"/>
        </w:rPr>
        <w:t>2</w:t>
      </w:r>
      <w:r>
        <w:rPr>
          <w:rFonts w:ascii="Times New Roman" w:hAnsi="Times New Roman"/>
        </w:rPr>
        <w:t xml:space="preserve"> </w:t>
      </w:r>
      <w:r>
        <w:t>assisted growth.</w:t>
      </w:r>
    </w:p>
    <w:p w14:paraId="1AC7EDDB" w14:textId="77777777" w:rsidR="00017B99" w:rsidRDefault="00000000">
      <w:pPr>
        <w:pStyle w:val="TSP31text"/>
        <w:ind w:firstLine="0"/>
      </w:pPr>
      <w:r w:rsidRPr="0045013E">
        <w:rPr>
          <w:b/>
          <w:bCs/>
        </w:rPr>
        <w:t>Figure S2.</w:t>
      </w:r>
      <w:r>
        <w:t xml:space="preserve"> Atomic force microscopy (AFM) characterization of SnS</w:t>
      </w:r>
      <w:r>
        <w:rPr>
          <w:vertAlign w:val="subscript"/>
        </w:rPr>
        <w:t xml:space="preserve">2 </w:t>
      </w:r>
      <w:r>
        <w:t>nanosheets.</w:t>
      </w:r>
    </w:p>
    <w:p w14:paraId="02FCAC5A" w14:textId="77777777" w:rsidR="00017B99" w:rsidRDefault="00000000">
      <w:pPr>
        <w:pStyle w:val="TSP31text"/>
        <w:ind w:firstLine="0"/>
      </w:pPr>
      <w:r w:rsidRPr="0045013E">
        <w:rPr>
          <w:b/>
          <w:bCs/>
          <w:shd w:val="clear" w:color="auto" w:fill="FFFFFF"/>
        </w:rPr>
        <w:t xml:space="preserve">Figure </w:t>
      </w:r>
      <w:r w:rsidRPr="0045013E">
        <w:rPr>
          <w:b/>
          <w:bCs/>
        </w:rPr>
        <w:t>S3</w:t>
      </w:r>
      <w:r w:rsidRPr="0045013E">
        <w:rPr>
          <w:b/>
          <w:bCs/>
          <w:shd w:val="clear" w:color="auto" w:fill="FFFFFF"/>
        </w:rPr>
        <w:t>.</w:t>
      </w:r>
      <w:r>
        <w:rPr>
          <w:shd w:val="clear" w:color="auto" w:fill="FFFFFF"/>
        </w:rPr>
        <w:t xml:space="preserve"> </w:t>
      </w:r>
      <w:r>
        <w:t>The theoretical calculation of SnS</w:t>
      </w:r>
      <w:r>
        <w:rPr>
          <w:vertAlign w:val="subscript"/>
        </w:rPr>
        <w:t xml:space="preserve">2 </w:t>
      </w:r>
      <w:r>
        <w:rPr>
          <w:shd w:val="clear" w:color="auto" w:fill="FFFFFF"/>
        </w:rPr>
        <w:t>crystal properties.</w:t>
      </w:r>
    </w:p>
    <w:p w14:paraId="326CAF3F" w14:textId="77777777" w:rsidR="00017B99" w:rsidRDefault="00000000">
      <w:pPr>
        <w:pStyle w:val="TSP31text"/>
        <w:ind w:firstLine="0"/>
      </w:pPr>
      <w:r w:rsidRPr="0045013E">
        <w:rPr>
          <w:b/>
          <w:bCs/>
        </w:rPr>
        <w:t>Figure S4.</w:t>
      </w:r>
      <w:r>
        <w:rPr>
          <w:color w:val="auto"/>
        </w:rPr>
        <w:t xml:space="preserve"> XPS analysis after transferred to SiO</w:t>
      </w:r>
      <w:r>
        <w:rPr>
          <w:color w:val="auto"/>
          <w:vertAlign w:val="subscript"/>
        </w:rPr>
        <w:t>2</w:t>
      </w:r>
      <w:r>
        <w:rPr>
          <w:color w:val="auto"/>
        </w:rPr>
        <w:t>/Si (300 nm SiO</w:t>
      </w:r>
      <w:r>
        <w:rPr>
          <w:color w:val="auto"/>
          <w:vertAlign w:val="subscript"/>
        </w:rPr>
        <w:t>2</w:t>
      </w:r>
      <w:r>
        <w:rPr>
          <w:color w:val="auto"/>
        </w:rPr>
        <w:t>).</w:t>
      </w:r>
    </w:p>
    <w:p w14:paraId="0E8BC05C" w14:textId="77777777" w:rsidR="00017B99" w:rsidRDefault="00000000">
      <w:pPr>
        <w:pStyle w:val="TSP31text"/>
        <w:ind w:firstLine="0"/>
      </w:pPr>
      <w:r w:rsidRPr="0045013E">
        <w:rPr>
          <w:b/>
          <w:bCs/>
        </w:rPr>
        <w:t>Figure S5.</w:t>
      </w:r>
      <w:r>
        <w:rPr>
          <w:rFonts w:hint="eastAsia"/>
        </w:rPr>
        <w:t xml:space="preserve"> </w:t>
      </w:r>
      <w:r>
        <w:t>The Raman spectroscopy of SnS</w:t>
      </w:r>
      <w:r>
        <w:rPr>
          <w:rFonts w:hint="eastAsia"/>
          <w:vertAlign w:val="subscript"/>
        </w:rPr>
        <w:t>2</w:t>
      </w:r>
      <w:r>
        <w:t xml:space="preserve"> nanosheets on the growth substrate and the transferred substrates.</w:t>
      </w:r>
    </w:p>
    <w:p w14:paraId="3BBE4912" w14:textId="77777777" w:rsidR="00017B99" w:rsidRDefault="00000000">
      <w:pPr>
        <w:pStyle w:val="TSP31text"/>
        <w:ind w:firstLine="0"/>
      </w:pPr>
      <w:r w:rsidRPr="0045013E">
        <w:rPr>
          <w:b/>
          <w:bCs/>
        </w:rPr>
        <w:t>Supplementary Note</w:t>
      </w:r>
      <w:r w:rsidRPr="0045013E">
        <w:rPr>
          <w:rFonts w:eastAsiaTheme="minorEastAsia"/>
          <w:b/>
          <w:bCs/>
          <w:lang w:eastAsia="zh-CN"/>
        </w:rPr>
        <w:t xml:space="preserve"> </w:t>
      </w:r>
      <w:r w:rsidRPr="0045013E">
        <w:rPr>
          <w:b/>
          <w:bCs/>
        </w:rPr>
        <w:t>1:</w:t>
      </w:r>
      <w:r>
        <w:t xml:space="preserve"> The Calculation of Raman Mode Intensity for ARPRS</w:t>
      </w:r>
    </w:p>
    <w:p w14:paraId="0E060D2F" w14:textId="19440516" w:rsidR="00D01C08" w:rsidRDefault="00D01C08">
      <w:pPr>
        <w:widowControl/>
        <w:jc w:val="left"/>
      </w:pPr>
      <w:r>
        <w:br w:type="page"/>
      </w:r>
    </w:p>
    <w:p w14:paraId="1B1954A4" w14:textId="77777777" w:rsidR="00017B99" w:rsidRDefault="00000000">
      <w:pPr>
        <w:pStyle w:val="TSP31text"/>
        <w:ind w:firstLine="0"/>
        <w:rPr>
          <w:b/>
        </w:rPr>
      </w:pPr>
      <w:r>
        <w:rPr>
          <w:b/>
        </w:rPr>
        <w:lastRenderedPageBreak/>
        <w:t>Supplementary Note</w:t>
      </w:r>
      <w:r>
        <w:rPr>
          <w:rFonts w:eastAsiaTheme="minorEastAsia"/>
          <w:b/>
          <w:lang w:eastAsia="zh-CN"/>
        </w:rPr>
        <w:t xml:space="preserve"> </w:t>
      </w:r>
      <w:r>
        <w:rPr>
          <w:b/>
        </w:rPr>
        <w:t>1: The Calculation of Raman Mode Intensity for ARPRS</w:t>
      </w:r>
    </w:p>
    <w:p w14:paraId="35D0C7E8" w14:textId="5E4C0670" w:rsidR="00017B99" w:rsidRDefault="00000000">
      <w:pPr>
        <w:pStyle w:val="TSP31text"/>
      </w:pPr>
      <w:r>
        <w:t xml:space="preserve">According to group theory, the Raman tensor for the Raman-active modes of </w:t>
      </w:r>
      <w:r>
        <w:rPr>
          <w:rFonts w:eastAsia="宋体" w:hint="eastAsia"/>
          <w:lang w:eastAsia="zh-CN"/>
        </w:rPr>
        <w:t>SnS</w:t>
      </w:r>
      <w:r>
        <w:rPr>
          <w:rFonts w:eastAsia="宋体" w:hint="eastAsia"/>
          <w:vertAlign w:val="subscript"/>
          <w:lang w:eastAsia="zh-CN"/>
        </w:rPr>
        <w:t>2</w:t>
      </w:r>
      <w:r>
        <w:rPr>
          <w:rFonts w:eastAsia="宋体" w:hint="eastAsia"/>
          <w:lang w:eastAsia="zh-CN"/>
        </w:rPr>
        <w:t xml:space="preserve"> on SiO</w:t>
      </w:r>
      <w:r>
        <w:rPr>
          <w:rFonts w:eastAsia="宋体" w:hint="eastAsia"/>
          <w:vertAlign w:val="subscript"/>
          <w:lang w:eastAsia="zh-CN"/>
        </w:rPr>
        <w:t>2</w:t>
      </w:r>
      <w:r>
        <w:rPr>
          <w:rFonts w:eastAsia="宋体" w:hint="eastAsia"/>
          <w:lang w:eastAsia="zh-CN"/>
        </w:rPr>
        <w:t xml:space="preserve"> </w:t>
      </w:r>
      <w:r>
        <w:t>can be expressed as</w:t>
      </w:r>
      <w:r>
        <w:rPr>
          <w:shd w:val="clear" w:color="auto" w:fill="FFFFFF"/>
        </w:rPr>
        <w:fldChar w:fldCharType="begin"/>
      </w:r>
      <w:r>
        <w:rPr>
          <w:shd w:val="clear" w:color="auto" w:fill="FFFFFF"/>
        </w:rPr>
        <w:instrText xml:space="preserve"> ADDIN EN.CITE &lt;EndNote&gt;&lt;Cite&gt;&lt;Author&gt;Loudon&lt;/Author&gt;&lt;Year&gt;1964&lt;/Year&gt;&lt;RecNum&gt;196&lt;/RecNum&gt;&lt;DisplayText&gt;[1-2]&lt;/DisplayText&gt;&lt;record&gt;&lt;rec-number&gt;196&lt;/rec-number&gt;&lt;foreign-keys&gt;&lt;key app="EN" db-id="v20xvzvdweewaxe50zt50xavw550wr2z2dz5" timestamp="1737017729"&gt;196&lt;/key&gt;&lt;/foreign-keys&gt;&lt;ref-type name="Journal Article"&gt;17&lt;/ref-type&gt;&lt;contributors&gt;&lt;authors&gt;&lt;author&gt;Loudon, R.&lt;/author&gt;&lt;/authors&gt;&lt;/contributors&gt;&lt;titles&gt;&lt;title&gt;The Raman effect in crystals&lt;/title&gt;&lt;secondary-title&gt;Adv. Phys.&lt;/secondary-title&gt;&lt;/titles&gt;&lt;pages&gt;423-482&lt;/pages&gt;&lt;volume&gt;13&lt;/volume&gt;&lt;number&gt;52&lt;/number&gt;&lt;dates&gt;&lt;year&gt;1964&lt;/year&gt;&lt;pub-dates&gt;&lt;date&gt;1964/10/01&lt;/date&gt;&lt;/pub-dates&gt;&lt;/dates&gt;&lt;publisher&gt;Taylor &amp;amp; Francis&lt;/publisher&gt;&lt;isbn&gt;0001-8732&lt;/isbn&gt;&lt;urls&gt;&lt;related-urls&gt;&lt;url&gt;https://doi.org/10.1080/00018736400101051&lt;/url&gt;&lt;/related-urls&gt;&lt;/urls&gt;&lt;electronic-resource-num&gt;10.1080/00018736400101051&lt;/electronic-resource-num&gt;&lt;/record&gt;&lt;/Cite&gt;&lt;Cite&gt;&lt;Author&gt;Ding&lt;/Author&gt;&lt;Year&gt;2020&lt;/Year&gt;&lt;RecNum&gt;340&lt;/RecNum&gt;&lt;record&gt;&lt;rec-number&gt;340&lt;/rec-number&gt;&lt;foreign-keys&gt;&lt;key app="EN" db-id="v20xvzvdweewaxe50zt50xavw550wr2z2dz5" timestamp="1774836693"&gt;340&lt;/key&gt;&lt;/foreign-keys&gt;&lt;ref-type name="Journal Article"&gt;17&lt;/ref-type&gt;&lt;contributors&gt;&lt;authors&gt;&lt;author&gt;Ding, Ying&lt;/author&gt;&lt;author&gt;Zheng, Wei&lt;/author&gt;&lt;author&gt;Lu, Xuefang&lt;/author&gt;&lt;author&gt;Liang, Yali&lt;/author&gt;&lt;author&gt;Zhu, Yanming&lt;/author&gt;&lt;author&gt;Jin, Mingge&lt;/author&gt;&lt;author&gt;Huang, Feng&lt;/author&gt;&lt;/authors&gt;&lt;/contributors&gt;&lt;titles&gt;&lt;title&gt;&lt;style face="normal" font="default" size="100%"&gt;Raman Tensor of Layered SnS&lt;/style&gt;&lt;style face="subscript" font="default" size="100%"&gt;2&lt;/style&gt;&lt;/title&gt;&lt;secondary-title&gt;The Journal of Physical Chemistry Letters&lt;/secondary-title&gt;&lt;/titles&gt;&lt;pages&gt;10094-10099&lt;/pages&gt;&lt;volume&gt;11&lt;/volume&gt;&lt;number&gt;23&lt;/number&gt;&lt;dates&gt;&lt;year&gt;2020&lt;/year&gt;&lt;pub-dates&gt;&lt;date&gt;2020/12/03&lt;/date&gt;&lt;/pub-dates&gt;&lt;/dates&gt;&lt;publisher&gt;American Chemical Society&lt;/publisher&gt;&lt;urls&gt;&lt;related-urls&gt;&lt;url&gt;https://doi.org/10.1021/acs.jpclett.0c03024&lt;/url&gt;&lt;/related-urls&gt;&lt;/urls&gt;&lt;electronic-resource-num&gt;10.1021/acs.jpclett.0c03024&lt;/electronic-resource-num&gt;&lt;/record&gt;&lt;/Cite&gt;&lt;/EndNote&gt;</w:instrText>
      </w:r>
      <w:r>
        <w:rPr>
          <w:shd w:val="clear" w:color="auto" w:fill="FFFFFF"/>
        </w:rPr>
        <w:fldChar w:fldCharType="separate"/>
      </w:r>
      <w:r>
        <w:rPr>
          <w:shd w:val="clear" w:color="auto" w:fill="FFFFFF"/>
        </w:rPr>
        <w:t>[1</w:t>
      </w:r>
      <w:r w:rsidR="00322E4A">
        <w:rPr>
          <w:rFonts w:eastAsiaTheme="minorEastAsia" w:hint="eastAsia"/>
          <w:shd w:val="clear" w:color="auto" w:fill="FFFFFF"/>
          <w:lang w:eastAsia="zh-CN"/>
        </w:rPr>
        <w:t>,</w:t>
      </w:r>
      <w:r>
        <w:rPr>
          <w:shd w:val="clear" w:color="auto" w:fill="FFFFFF"/>
        </w:rPr>
        <w:t>2]</w:t>
      </w:r>
      <w:r>
        <w:rPr>
          <w:shd w:val="clear" w:color="auto" w:fill="FFFFFF"/>
        </w:rPr>
        <w:fldChar w:fldCharType="end"/>
      </w:r>
      <w:r>
        <w:t>:</w:t>
      </w:r>
    </w:p>
    <w:p w14:paraId="2591EF31" w14:textId="26A3B1EC" w:rsidR="00017B99" w:rsidRDefault="00000000">
      <w:pPr>
        <w:jc w:val="right"/>
        <w:rPr>
          <w:rFonts w:ascii="Times New Roman" w:hAnsi="Times New Roman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R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Cs w:val="24"/>
                  </w:rPr>
                  <m:t>A</m:t>
                </m:r>
              </m:e>
              <m:sub>
                <m:r>
                  <w:rPr>
                    <w:rFonts w:ascii="Cambria Math" w:hAnsi="Cambria Math"/>
                    <w:szCs w:val="24"/>
                  </w:rPr>
                  <m:t>1g</m:t>
                </m:r>
              </m:sub>
            </m:sSub>
          </m:sub>
        </m:sSub>
        <m:r>
          <w:rPr>
            <w:rFonts w:ascii="Cambria Math" w:hAnsi="Cambria Math"/>
            <w:szCs w:val="24"/>
          </w:rPr>
          <m:t>=</m:t>
        </m:r>
        <m:d>
          <m:dPr>
            <m:ctrlPr>
              <w:rPr>
                <w:rFonts w:ascii="Cambria Math" w:eastAsia="等线" w:hAnsi="Cambria Math"/>
                <w:i/>
                <w:szCs w:val="24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eastAsia="等线" w:hAnsi="Cambria Math"/>
                    <w:i/>
                    <w:szCs w:val="24"/>
                  </w:rPr>
                </m:ctrlPr>
              </m:mPr>
              <m:mr>
                <m:e>
                  <m:r>
                    <w:rPr>
                      <w:rFonts w:ascii="Cambria Math" w:eastAsia="等线" w:hAnsi="Cambria Math"/>
                      <w:szCs w:val="24"/>
                    </w:rPr>
                    <m:t>a</m:t>
                  </m:r>
                </m:e>
                <m:e>
                  <m:r>
                    <w:rPr>
                      <w:rFonts w:ascii="Cambria Math" w:eastAsia="等线" w:hAnsi="Cambria Math"/>
                      <w:szCs w:val="24"/>
                    </w:rPr>
                    <m:t>0</m:t>
                  </m:r>
                </m:e>
                <m:e>
                  <m:r>
                    <w:rPr>
                      <w:rFonts w:ascii="Cambria Math" w:eastAsia="等线" w:hAnsi="Cambria Math"/>
                      <w:szCs w:val="24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 w:eastAsia="等线" w:hAnsi="Cambria Math"/>
                      <w:szCs w:val="24"/>
                    </w:rPr>
                    <m:t>0</m:t>
                  </m:r>
                </m:e>
                <m:e>
                  <m:r>
                    <w:rPr>
                      <w:rFonts w:ascii="Cambria Math" w:eastAsia="等线" w:hAnsi="Cambria Math"/>
                      <w:szCs w:val="24"/>
                    </w:rPr>
                    <m:t>a</m:t>
                  </m:r>
                </m:e>
                <m:e>
                  <m:r>
                    <w:rPr>
                      <w:rFonts w:ascii="Cambria Math" w:eastAsia="等线" w:hAnsi="Cambria Math"/>
                      <w:szCs w:val="24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 w:eastAsia="等线" w:hAnsi="Cambria Math"/>
                      <w:szCs w:val="24"/>
                    </w:rPr>
                    <m:t>0</m:t>
                  </m:r>
                </m:e>
                <m:e>
                  <m:r>
                    <w:rPr>
                      <w:rFonts w:ascii="Cambria Math" w:eastAsia="等线" w:hAnsi="Cambria Math"/>
                      <w:szCs w:val="24"/>
                    </w:rPr>
                    <m:t>0</m:t>
                  </m:r>
                </m:e>
                <m:e>
                  <m:r>
                    <w:rPr>
                      <w:rFonts w:ascii="Cambria Math" w:eastAsia="等线" w:hAnsi="Cambria Math"/>
                      <w:szCs w:val="24"/>
                    </w:rPr>
                    <m:t>c</m:t>
                  </m:r>
                </m:e>
              </m:mr>
            </m:m>
          </m:e>
        </m:d>
      </m:oMath>
      <w:r>
        <w:rPr>
          <w:rFonts w:ascii="Times New Roman" w:hAnsi="Times New Roman" w:hint="eastAsia"/>
          <w:szCs w:val="24"/>
        </w:rPr>
        <w:t xml:space="preserve"> </w:t>
      </w:r>
      <w:r>
        <w:rPr>
          <w:rFonts w:ascii="Times New Roman" w:hAnsi="Times New Roman"/>
          <w:szCs w:val="24"/>
        </w:rPr>
        <w:t xml:space="preserve">                          (</w:t>
      </w:r>
      <w:r w:rsidR="00D01C08">
        <w:rPr>
          <w:rFonts w:ascii="Times New Roman" w:hAnsi="Times New Roman" w:hint="eastAsia"/>
          <w:szCs w:val="24"/>
        </w:rPr>
        <w:t>S</w:t>
      </w:r>
      <w:r>
        <w:rPr>
          <w:rFonts w:ascii="Times New Roman" w:hAnsi="Times New Roman"/>
          <w:szCs w:val="24"/>
        </w:rPr>
        <w:t>1)</w:t>
      </w:r>
    </w:p>
    <w:p w14:paraId="6A91F175" w14:textId="77777777" w:rsidR="00017B99" w:rsidRDefault="00000000">
      <w:pPr>
        <w:pStyle w:val="TSP31text"/>
      </w:pPr>
      <w:r>
        <w:t xml:space="preserve">The intensity of a Raman active mode with Raman tensor </w:t>
      </w:r>
      <w:r>
        <w:rPr>
          <w:rFonts w:ascii="NimbusRomNo9L-ReguItal" w:hAnsi="NimbusRomNo9L-ReguItal" w:cs="NimbusRomNo9L-ReguItal"/>
        </w:rPr>
        <w:t xml:space="preserve">R </w:t>
      </w:r>
      <w:r>
        <w:t>can be calculated by:</w:t>
      </w:r>
    </w:p>
    <w:p w14:paraId="7BE8FA5B" w14:textId="60C7C6CF" w:rsidR="00017B99" w:rsidRDefault="00000000">
      <w:pPr>
        <w:jc w:val="right"/>
        <w:rPr>
          <w:rFonts w:ascii="Times New Roman" w:hAnsi="Times New Roman"/>
          <w:szCs w:val="24"/>
        </w:rPr>
      </w:pPr>
      <m:oMath>
        <m:r>
          <m:rPr>
            <m:sty m:val="p"/>
          </m:rPr>
          <w:rPr>
            <w:rFonts w:ascii="Cambria Math" w:eastAsia="MS Mincho" w:hAnsi="Cambria Math"/>
            <w:szCs w:val="24"/>
            <w:lang w:eastAsia="ja-JP"/>
          </w:rPr>
          <m:t>I</m:t>
        </m:r>
        <m:r>
          <m:rPr>
            <m:sty m:val="p"/>
          </m:rPr>
          <w:rPr>
            <w:rFonts w:ascii="Cambria Math" w:eastAsia="等线" w:hAnsi="Cambria Math" w:hint="eastAsia"/>
            <w:szCs w:val="24"/>
            <w:vertAlign w:val="subscript"/>
            <w:lang w:eastAsia="ja-JP"/>
          </w:rPr>
          <m:t>∝</m:t>
        </m:r>
        <m:sSup>
          <m:sSupPr>
            <m:ctrlPr>
              <w:rPr>
                <w:rFonts w:ascii="Cambria Math" w:eastAsia="等线" w:hAnsi="Cambria Math"/>
                <w:szCs w:val="24"/>
                <w:vertAlign w:val="subscript"/>
                <w:lang w:eastAsia="ja-JP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ascii="Cambria Math" w:eastAsia="等线" w:hAnsi="Cambria Math"/>
                    <w:i/>
                    <w:szCs w:val="24"/>
                    <w:lang w:eastAsia="ja-JP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等线" w:hAnsi="Cambria Math"/>
                        <w:i/>
                        <w:szCs w:val="24"/>
                        <w:lang w:eastAsia="ja-JP"/>
                      </w:rPr>
                    </m:ctrlPr>
                  </m:sSubPr>
                  <m:e>
                    <m:r>
                      <w:rPr>
                        <w:rFonts w:ascii="Cambria Math" w:eastAsia="等线" w:hAnsi="Cambria Math"/>
                        <w:szCs w:val="24"/>
                        <w:lang w:eastAsia="ja-JP"/>
                      </w:rPr>
                      <m:t>e</m:t>
                    </m:r>
                  </m:e>
                  <m:sub>
                    <m:r>
                      <w:rPr>
                        <w:rFonts w:ascii="Cambria Math" w:eastAsia="等线" w:hAnsi="Cambria Math"/>
                        <w:szCs w:val="24"/>
                        <w:lang w:eastAsia="ja-JP"/>
                      </w:rPr>
                      <m:t>s</m:t>
                    </m:r>
                  </m:sub>
                </m:sSub>
                <m:r>
                  <w:rPr>
                    <w:rFonts w:ascii="Cambria Math" w:eastAsia="等线" w:hAnsi="Cambria Math"/>
                    <w:szCs w:val="24"/>
                    <w:lang w:eastAsia="ja-JP"/>
                  </w:rPr>
                  <m:t>.R.</m:t>
                </m:r>
                <m:sSub>
                  <m:sSubPr>
                    <m:ctrlPr>
                      <w:rPr>
                        <w:rFonts w:ascii="Cambria Math" w:eastAsia="等线" w:hAnsi="Cambria Math"/>
                        <w:i/>
                        <w:szCs w:val="24"/>
                        <w:lang w:eastAsia="ja-JP"/>
                      </w:rPr>
                    </m:ctrlPr>
                  </m:sSubPr>
                  <m:e>
                    <m:r>
                      <w:rPr>
                        <w:rFonts w:ascii="Cambria Math" w:eastAsia="等线" w:hAnsi="Cambria Math"/>
                        <w:szCs w:val="24"/>
                        <w:lang w:eastAsia="ja-JP"/>
                      </w:rPr>
                      <m:t>e</m:t>
                    </m:r>
                  </m:e>
                  <m:sub>
                    <m:r>
                      <w:rPr>
                        <w:rFonts w:ascii="Cambria Math" w:eastAsia="等线" w:hAnsi="Cambria Math"/>
                        <w:szCs w:val="24"/>
                        <w:lang w:eastAsia="ja-JP"/>
                      </w:rPr>
                      <m:t>i</m:t>
                    </m:r>
                  </m:sub>
                </m:sSub>
              </m:e>
            </m:d>
          </m:e>
          <m:sup>
            <m:r>
              <w:rPr>
                <w:rFonts w:ascii="Cambria Math" w:eastAsia="等线" w:hAnsi="Cambria Math"/>
                <w:szCs w:val="24"/>
                <w:vertAlign w:val="subscript"/>
                <w:lang w:eastAsia="ja-JP"/>
              </w:rPr>
              <m:t>2</m:t>
            </m:r>
          </m:sup>
        </m:sSup>
      </m:oMath>
      <w:r>
        <w:rPr>
          <w:rFonts w:ascii="Times New Roman" w:hAnsi="Times New Roman" w:hint="eastAsia"/>
          <w:szCs w:val="24"/>
          <w:vertAlign w:val="subscript"/>
        </w:rPr>
        <w:t xml:space="preserve"> </w:t>
      </w:r>
      <w:r>
        <w:rPr>
          <w:rFonts w:ascii="Times New Roman" w:hAnsi="Times New Roman"/>
          <w:szCs w:val="24"/>
          <w:vertAlign w:val="subscript"/>
        </w:rPr>
        <w:t xml:space="preserve">                                          </w:t>
      </w:r>
      <w:r>
        <w:rPr>
          <w:rFonts w:ascii="Times New Roman" w:hAnsi="Times New Roman"/>
          <w:szCs w:val="24"/>
        </w:rPr>
        <w:t xml:space="preserve">    (</w:t>
      </w:r>
      <w:r w:rsidR="00D01C08">
        <w:rPr>
          <w:rFonts w:ascii="Times New Roman" w:hAnsi="Times New Roman" w:hint="eastAsia"/>
          <w:szCs w:val="24"/>
        </w:rPr>
        <w:t>S</w:t>
      </w:r>
      <w:r>
        <w:rPr>
          <w:rFonts w:ascii="Times New Roman" w:hAnsi="Times New Roman"/>
          <w:szCs w:val="24"/>
        </w:rPr>
        <w:t>2)</w:t>
      </w:r>
    </w:p>
    <w:p w14:paraId="33D961A1" w14:textId="279C11A4" w:rsidR="00017B99" w:rsidRPr="0052527F" w:rsidRDefault="00000000" w:rsidP="00AF57E9">
      <w:pPr>
        <w:pStyle w:val="TSP31text"/>
        <w:ind w:firstLine="0"/>
        <w:rPr>
          <w:rFonts w:eastAsiaTheme="minorEastAsia" w:hint="eastAsia"/>
          <w:lang w:eastAsia="zh-CN"/>
        </w:rPr>
      </w:pPr>
      <w:r>
        <w:t xml:space="preserve">where </w:t>
      </w:r>
      <w:proofErr w:type="spellStart"/>
      <w:r>
        <w:rPr>
          <w:rFonts w:ascii="Times-Italic" w:hAnsi="Times-Italic" w:cs="Times-Italic"/>
          <w:i/>
          <w:iCs/>
        </w:rPr>
        <w:t>e</w:t>
      </w:r>
      <w:r>
        <w:rPr>
          <w:rFonts w:ascii="Times-Italic" w:hAnsi="Times-Italic" w:cs="Times-Italic"/>
          <w:i/>
          <w:iCs/>
          <w:vertAlign w:val="subscript"/>
        </w:rPr>
        <w:t>i</w:t>
      </w:r>
      <w:proofErr w:type="spellEnd"/>
      <w:r>
        <w:rPr>
          <w:rFonts w:ascii="Times-Italic" w:eastAsia="宋体" w:hAnsi="Times-Italic" w:cs="Times-Italic"/>
          <w:i/>
          <w:iCs/>
          <w:vertAlign w:val="subscript"/>
        </w:rPr>
        <w:t xml:space="preserve"> </w:t>
      </w:r>
      <w:r>
        <w:t xml:space="preserve">is the incident light polarization unit vector, </w:t>
      </w:r>
      <w:r>
        <w:rPr>
          <w:rFonts w:ascii="Times-Italic" w:hAnsi="Times-Italic" w:cs="Times-Italic"/>
          <w:i/>
          <w:iCs/>
        </w:rPr>
        <w:t>e</w:t>
      </w:r>
      <w:r>
        <w:rPr>
          <w:rFonts w:ascii="Times-Italic" w:hAnsi="Times-Italic" w:cs="Times-Italic"/>
          <w:i/>
          <w:iCs/>
          <w:vertAlign w:val="subscript"/>
        </w:rPr>
        <w:t>s</w:t>
      </w:r>
      <w:r>
        <w:rPr>
          <w:rFonts w:ascii="Times-Italic" w:eastAsia="宋体" w:hAnsi="Times-Italic" w:cs="Times-Italic"/>
          <w:i/>
          <w:iCs/>
          <w:vertAlign w:val="subscript"/>
        </w:rPr>
        <w:t xml:space="preserve"> </w:t>
      </w:r>
      <w:r>
        <w:t xml:space="preserve">is the scattered light unit polarization vector, and </w:t>
      </w:r>
      <w:r>
        <w:rPr>
          <w:rFonts w:ascii="Times-Italic" w:hAnsi="Times-Italic" w:cs="Times-Italic"/>
          <w:i/>
          <w:iCs/>
        </w:rPr>
        <w:t xml:space="preserve">R </w:t>
      </w:r>
      <w:r>
        <w:t xml:space="preserve">is the Raman tensor of the Raman mode. </w:t>
      </w:r>
      <w:r>
        <w:rPr>
          <w:rFonts w:eastAsia="宋体"/>
        </w:rPr>
        <w:t xml:space="preserve">For parallel </w:t>
      </w:r>
      <w:r>
        <w:t>polarization configurations, the incident/scattered Raman vector for the polarized light</w:t>
      </w:r>
      <m:oMath>
        <m:r>
          <m:rPr>
            <m:sty m:val="p"/>
          </m:rPr>
          <w:rPr>
            <w:rFonts w:ascii="Cambria Math" w:hAnsi="Cambria Math"/>
          </w:rPr>
          <m:t xml:space="preserve"> is </m:t>
        </m:r>
      </m:oMath>
      <w:r>
        <w:rPr>
          <w:rFonts w:eastAsia="RMTMI"/>
          <w:i/>
          <w:iCs/>
        </w:rPr>
        <w:t>e</w:t>
      </w:r>
      <w:r>
        <w:rPr>
          <w:rFonts w:eastAsia="RMTMI"/>
          <w:i/>
          <w:iCs/>
          <w:vertAlign w:val="subscript"/>
        </w:rPr>
        <w:t>s</w:t>
      </w:r>
      <w:r>
        <w:rPr>
          <w:rFonts w:eastAsia="MTSY"/>
        </w:rPr>
        <w:t>=</w:t>
      </w:r>
      <w:r>
        <w:rPr>
          <w:rFonts w:eastAsia="宋体"/>
        </w:rPr>
        <w:t xml:space="preserve"> </w:t>
      </w:r>
      <w:r>
        <w:t>(</w:t>
      </w:r>
      <w:r w:rsidR="0052527F">
        <w:t>−</w:t>
      </w:r>
      <w:r>
        <w:t xml:space="preserve">sinβ </w:t>
      </w:r>
      <w:r>
        <w:rPr>
          <w:rFonts w:eastAsia="宋体"/>
        </w:rPr>
        <w:t>cosβ 0</w:t>
      </w:r>
      <w:r>
        <w:t xml:space="preserve">) and </w:t>
      </w:r>
      <w:proofErr w:type="spellStart"/>
      <w:r>
        <w:rPr>
          <w:rFonts w:eastAsia="RMTMI"/>
          <w:i/>
          <w:iCs/>
        </w:rPr>
        <w:t>e</w:t>
      </w:r>
      <w:r>
        <w:rPr>
          <w:rFonts w:eastAsia="RMTMI"/>
          <w:i/>
          <w:iCs/>
          <w:vertAlign w:val="subscript"/>
        </w:rPr>
        <w:t>i</w:t>
      </w:r>
      <w:proofErr w:type="spellEnd"/>
      <w:r>
        <w:rPr>
          <w:rFonts w:eastAsia="MTSY"/>
        </w:rPr>
        <w:t>=</w:t>
      </w:r>
      <w:r>
        <w:t xml:space="preserve"> (</w:t>
      </w:r>
      <w:r w:rsidR="0052527F">
        <w:t>−</w:t>
      </w:r>
      <w:r>
        <w:t xml:space="preserve">sinβ </w:t>
      </w:r>
      <w:r>
        <w:rPr>
          <w:rFonts w:eastAsia="宋体"/>
        </w:rPr>
        <w:t xml:space="preserve">cosβ </w:t>
      </w:r>
      <w:proofErr w:type="gramStart"/>
      <w:r>
        <w:rPr>
          <w:rFonts w:eastAsia="宋体"/>
        </w:rPr>
        <w:t>0</w:t>
      </w:r>
      <w:r>
        <w:t>)</w:t>
      </w:r>
      <w:r>
        <w:rPr>
          <w:vertAlign w:val="superscript"/>
        </w:rPr>
        <w:t>T</w:t>
      </w:r>
      <w:proofErr w:type="gramEnd"/>
      <w:r>
        <w:t xml:space="preserve">; </w:t>
      </w:r>
      <w:r>
        <w:rPr>
          <w:rFonts w:eastAsia="宋体"/>
        </w:rPr>
        <w:t xml:space="preserve">for perpendicular </w:t>
      </w:r>
      <w:r>
        <w:t>polarization configurations, the incident/scattered Raman vector for the polarized light</w:t>
      </w:r>
      <m:oMath>
        <m:r>
          <m:rPr>
            <m:sty m:val="p"/>
          </m:rPr>
          <w:rPr>
            <w:rFonts w:ascii="Cambria Math" w:hAnsi="Cambria Math"/>
          </w:rPr>
          <m:t xml:space="preserve"> is </m:t>
        </m:r>
      </m:oMath>
      <w:r>
        <w:rPr>
          <w:rFonts w:eastAsia="RMTMI"/>
          <w:i/>
          <w:iCs/>
        </w:rPr>
        <w:t>e</w:t>
      </w:r>
      <w:r>
        <w:rPr>
          <w:rFonts w:eastAsia="RMTMI"/>
          <w:i/>
          <w:iCs/>
          <w:vertAlign w:val="subscript"/>
        </w:rPr>
        <w:t>s</w:t>
      </w:r>
      <w:r>
        <w:rPr>
          <w:rFonts w:eastAsia="MTSY"/>
        </w:rPr>
        <w:t>=</w:t>
      </w:r>
      <w:r>
        <w:rPr>
          <w:rFonts w:eastAsia="宋体"/>
        </w:rPr>
        <w:t xml:space="preserve"> </w:t>
      </w:r>
      <w:r>
        <w:t>(</w:t>
      </w:r>
      <w:r>
        <w:rPr>
          <w:rFonts w:eastAsia="宋体"/>
        </w:rPr>
        <w:t xml:space="preserve">cosβ </w:t>
      </w:r>
      <w:r>
        <w:t xml:space="preserve">sinβ </w:t>
      </w:r>
      <w:r>
        <w:rPr>
          <w:rFonts w:eastAsia="宋体"/>
        </w:rPr>
        <w:t>0</w:t>
      </w:r>
      <w:r>
        <w:t xml:space="preserve">) and </w:t>
      </w:r>
      <w:proofErr w:type="spellStart"/>
      <w:r>
        <w:rPr>
          <w:rFonts w:eastAsia="RMTMI"/>
          <w:i/>
          <w:iCs/>
        </w:rPr>
        <w:t>e</w:t>
      </w:r>
      <w:r>
        <w:rPr>
          <w:rFonts w:eastAsia="RMTMI"/>
          <w:i/>
          <w:iCs/>
          <w:vertAlign w:val="subscript"/>
        </w:rPr>
        <w:t>i</w:t>
      </w:r>
      <w:proofErr w:type="spellEnd"/>
      <w:r>
        <w:rPr>
          <w:rFonts w:eastAsia="MTSY"/>
        </w:rPr>
        <w:t>=</w:t>
      </w:r>
      <w:r>
        <w:rPr>
          <w:rFonts w:eastAsia="宋体"/>
        </w:rPr>
        <w:t xml:space="preserve"> </w:t>
      </w:r>
      <w:r>
        <w:t>(</w:t>
      </w:r>
      <w:r w:rsidR="00343DD2">
        <w:t>−</w:t>
      </w:r>
      <w:r>
        <w:t xml:space="preserve">sinβ </w:t>
      </w:r>
      <w:r>
        <w:rPr>
          <w:rFonts w:eastAsia="宋体"/>
        </w:rPr>
        <w:t xml:space="preserve">cosβ </w:t>
      </w:r>
      <w:proofErr w:type="gramStart"/>
      <w:r>
        <w:rPr>
          <w:rFonts w:eastAsia="宋体"/>
        </w:rPr>
        <w:t>0</w:t>
      </w:r>
      <w:r>
        <w:t>)</w:t>
      </w:r>
      <w:r>
        <w:rPr>
          <w:vertAlign w:val="superscript"/>
        </w:rPr>
        <w:t>T</w:t>
      </w:r>
      <w:r>
        <w:t>.</w:t>
      </w:r>
      <w:proofErr w:type="gramEnd"/>
    </w:p>
    <w:p w14:paraId="35833EF9" w14:textId="77777777" w:rsidR="00017B99" w:rsidRDefault="00000000">
      <w:pPr>
        <w:pStyle w:val="TSP31text"/>
      </w:pPr>
      <w:r>
        <w:t>For parallel polarization configuration</w:t>
      </w:r>
    </w:p>
    <w:p w14:paraId="07139600" w14:textId="747F67F9" w:rsidR="00017B99" w:rsidRDefault="00000000">
      <w:pPr>
        <w:ind w:firstLine="709"/>
        <w:rPr>
          <w:rFonts w:ascii="Times New Roman" w:hAnsi="Times New Roman"/>
          <w:szCs w:val="24"/>
        </w:rPr>
      </w:pPr>
      <m:oMath>
        <m:r>
          <m:rPr>
            <m:sty m:val="p"/>
          </m:rPr>
          <w:rPr>
            <w:rFonts w:ascii="Cambria Math" w:hAnsi="Cambria Math"/>
            <w:szCs w:val="24"/>
          </w:rPr>
          <m:t>I</m:t>
        </m:r>
        <m:sSub>
          <m:sSubPr>
            <m:ctrlPr>
              <w:rPr>
                <w:rFonts w:ascii="Cambria Math" w:hAnsi="Cambria Math"/>
                <w:szCs w:val="24"/>
                <w:vertAlign w:val="subscript"/>
              </w:rPr>
            </m:ctrlPr>
          </m:sSubPr>
          <m:e>
            <m:d>
              <m:dPr>
                <m:ctrlPr>
                  <w:rPr>
                    <w:rFonts w:ascii="Cambria Math" w:hAnsi="Cambria Math"/>
                    <w:szCs w:val="24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4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4"/>
                      </w:rPr>
                      <m:t>1g</m:t>
                    </m:r>
                  </m:sub>
                </m:sSub>
              </m:e>
            </m:d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  <w:vertAlign w:val="subscript"/>
              </w:rPr>
              <m:t>//</m:t>
            </m:r>
          </m:sub>
        </m:sSub>
        <m:r>
          <m:rPr>
            <m:sty m:val="p"/>
          </m:rPr>
          <w:rPr>
            <w:rFonts w:ascii="Cambria Math" w:eastAsia="等线" w:hAnsi="Cambria Math" w:hint="eastAsia"/>
            <w:szCs w:val="24"/>
            <w:vertAlign w:val="subscript"/>
          </w:rPr>
          <m:t>∝</m:t>
        </m:r>
        <m:sSup>
          <m:sSupPr>
            <m:ctrlPr>
              <w:rPr>
                <w:rFonts w:ascii="Cambria Math" w:eastAsia="等线" w:hAnsi="Cambria Math"/>
                <w:szCs w:val="24"/>
                <w:vertAlign w:val="subscript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ascii="Cambria Math" w:eastAsia="等线" w:hAnsi="Cambria Math"/>
                    <w:i/>
                    <w:szCs w:val="24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等线" w:hAnsi="Cambria Math"/>
                        <w:i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等线" w:hAnsi="Cambria Math"/>
                        <w:szCs w:val="24"/>
                      </w:rPr>
                      <m:t>e</m:t>
                    </m:r>
                  </m:e>
                  <m:sub>
                    <m:r>
                      <w:rPr>
                        <w:rFonts w:ascii="Cambria Math" w:eastAsia="等线" w:hAnsi="Cambria Math"/>
                        <w:szCs w:val="24"/>
                      </w:rPr>
                      <m:t>s</m:t>
                    </m:r>
                  </m:sub>
                </m:sSub>
                <m:r>
                  <w:rPr>
                    <w:rFonts w:ascii="Cambria Math" w:eastAsia="等线" w:hAnsi="Cambria Math"/>
                    <w:szCs w:val="24"/>
                  </w:rPr>
                  <m:t>.R.</m:t>
                </m:r>
                <m:sSub>
                  <m:sSubPr>
                    <m:ctrlPr>
                      <w:rPr>
                        <w:rFonts w:ascii="Cambria Math" w:eastAsia="等线" w:hAnsi="Cambria Math"/>
                        <w:i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等线" w:hAnsi="Cambria Math"/>
                        <w:szCs w:val="24"/>
                      </w:rPr>
                      <m:t>e</m:t>
                    </m:r>
                  </m:e>
                  <m:sub>
                    <m:r>
                      <w:rPr>
                        <w:rFonts w:ascii="Cambria Math" w:eastAsia="等线" w:hAnsi="Cambria Math"/>
                        <w:szCs w:val="24"/>
                      </w:rPr>
                      <m:t>i</m:t>
                    </m:r>
                  </m:sub>
                </m:sSub>
              </m:e>
            </m:d>
          </m:e>
          <m:sup>
            <m:r>
              <w:rPr>
                <w:rFonts w:ascii="Cambria Math" w:eastAsia="等线" w:hAnsi="Cambria Math"/>
                <w:szCs w:val="24"/>
                <w:vertAlign w:val="subscript"/>
              </w:rPr>
              <m:t>2</m:t>
            </m:r>
          </m:sup>
        </m:sSup>
        <m:r>
          <w:rPr>
            <w:rFonts w:ascii="Cambria Math" w:eastAsia="等线" w:hAnsi="Cambria Math" w:hint="eastAsia"/>
            <w:szCs w:val="24"/>
          </w:rPr>
          <m:t>∝</m:t>
        </m:r>
        <m:sSup>
          <m:sSupPr>
            <m:ctrlPr>
              <w:rPr>
                <w:rFonts w:ascii="Cambria Math" w:hAnsi="Cambria Math"/>
                <w:i/>
                <w:szCs w:val="24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ascii="Cambria Math" w:eastAsia="等线" w:hAnsi="Cambria Math"/>
                    <w:i/>
                    <w:szCs w:val="24"/>
                  </w:rPr>
                </m:ctrlPr>
              </m:dPr>
              <m:e>
                <m:d>
                  <m:dPr>
                    <m:ctrlPr>
                      <w:rPr>
                        <w:rFonts w:ascii="Cambria Math" w:eastAsia="等线" w:hAnsi="Cambria Math"/>
                        <w:i/>
                        <w:szCs w:val="24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3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等线" w:hAnsi="Cambria Math"/>
                            <w:i/>
                            <w:szCs w:val="24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-sinβ</m:t>
                          </m:r>
                        </m:e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cosβ</m:t>
                          </m:r>
                        </m:e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0</m:t>
                          </m:r>
                        </m:e>
                      </m:mr>
                    </m:m>
                  </m:e>
                </m:d>
                <m:d>
                  <m:dPr>
                    <m:ctrlPr>
                      <w:rPr>
                        <w:rFonts w:ascii="Cambria Math" w:eastAsia="等线" w:hAnsi="Cambria Math"/>
                        <w:i/>
                        <w:szCs w:val="24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3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等线" w:hAnsi="Cambria Math"/>
                            <w:i/>
                            <w:szCs w:val="24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a</m:t>
                          </m:r>
                        </m:e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0</m:t>
                          </m:r>
                        </m:e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0</m:t>
                          </m:r>
                        </m:e>
                      </m:mr>
                      <m:mr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0</m:t>
                          </m:r>
                        </m:e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a</m:t>
                          </m:r>
                        </m:e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0</m:t>
                          </m:r>
                        </m:e>
                      </m:mr>
                      <m:mr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0</m:t>
                          </m:r>
                        </m:e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0</m:t>
                          </m:r>
                        </m:e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c</m:t>
                          </m:r>
                        </m:e>
                      </m:mr>
                    </m:m>
                  </m:e>
                </m:d>
                <m:d>
                  <m:dPr>
                    <m:ctrlPr>
                      <w:rPr>
                        <w:rFonts w:ascii="Cambria Math" w:eastAsia="等线" w:hAnsi="Cambria Math"/>
                        <w:i/>
                        <w:szCs w:val="24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等线" w:hAnsi="Cambria Math"/>
                            <w:i/>
                            <w:szCs w:val="24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-sinβ</m:t>
                          </m:r>
                        </m:e>
                      </m:mr>
                      <m:mr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cosβ</m:t>
                          </m:r>
                        </m:e>
                      </m:mr>
                      <m:mr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0</m:t>
                          </m:r>
                        </m:e>
                      </m:mr>
                    </m:m>
                  </m:e>
                </m:d>
              </m:e>
            </m:d>
          </m:e>
          <m:sup>
            <m:r>
              <w:rPr>
                <w:rFonts w:ascii="Cambria Math" w:hAnsi="Cambria Math"/>
                <w:szCs w:val="24"/>
              </w:rPr>
              <m:t>2</m:t>
            </m:r>
          </m:sup>
        </m:sSup>
        <m:r>
          <w:rPr>
            <w:rFonts w:ascii="Cambria Math" w:eastAsia="等线" w:hAnsi="Cambria Math" w:hint="eastAsia"/>
            <w:szCs w:val="24"/>
          </w:rPr>
          <m:t>∝</m:t>
        </m:r>
        <m:sSup>
          <m:sSupPr>
            <m:ctrlPr>
              <w:rPr>
                <w:rFonts w:ascii="Cambria Math" w:hAnsi="Cambria Math"/>
                <w:i/>
                <w:szCs w:val="24"/>
              </w:rPr>
            </m:ctrlPr>
          </m:sSupPr>
          <m:e>
            <m:r>
              <w:rPr>
                <w:rFonts w:ascii="Cambria Math" w:hAnsi="Cambria Math"/>
                <w:szCs w:val="24"/>
              </w:rPr>
              <m:t>a</m:t>
            </m:r>
          </m:e>
          <m:sup>
            <m:r>
              <w:rPr>
                <w:rFonts w:ascii="Cambria Math" w:hAnsi="Cambria Math"/>
                <w:szCs w:val="24"/>
              </w:rPr>
              <m:t>2</m:t>
            </m:r>
          </m:sup>
        </m:sSup>
        <m:r>
          <m:rPr>
            <m:sty m:val="p"/>
          </m:rPr>
          <w:rPr>
            <w:rFonts w:ascii="Cambria Math" w:hAnsi="Cambria Math" w:hint="eastAsia"/>
            <w:szCs w:val="24"/>
          </w:rPr>
          <m:t xml:space="preserve"> </m:t>
        </m:r>
        <m:r>
          <m:rPr>
            <m:sty m:val="p"/>
          </m:rPr>
          <w:rPr>
            <w:rFonts w:ascii="Cambria Math" w:hAnsi="Cambria Math"/>
            <w:szCs w:val="24"/>
          </w:rPr>
          <m:t xml:space="preserve"> </m:t>
        </m:r>
      </m:oMath>
      <w:r>
        <w:rPr>
          <w:rFonts w:ascii="Times New Roman" w:hAnsi="Times New Roman"/>
          <w:szCs w:val="24"/>
        </w:rPr>
        <w:t xml:space="preserve">      (</w:t>
      </w:r>
      <w:r w:rsidR="00D01C08">
        <w:rPr>
          <w:rFonts w:ascii="Times New Roman" w:hAnsi="Times New Roman" w:hint="eastAsia"/>
          <w:szCs w:val="24"/>
        </w:rPr>
        <w:t>S</w:t>
      </w:r>
      <w:r>
        <w:rPr>
          <w:rFonts w:ascii="Times New Roman" w:hAnsi="Times New Roman"/>
          <w:szCs w:val="24"/>
        </w:rPr>
        <w:t>3)</w:t>
      </w:r>
    </w:p>
    <w:p w14:paraId="156E32AD" w14:textId="77777777" w:rsidR="00017B99" w:rsidRDefault="00000000">
      <w:pPr>
        <w:pStyle w:val="TSP31text"/>
      </w:pPr>
      <w:r>
        <w:t>For perpendicular polarization configuration</w:t>
      </w:r>
    </w:p>
    <w:p w14:paraId="3F9AE4EC" w14:textId="0159B2A9" w:rsidR="00017B99" w:rsidRDefault="00000000">
      <w:pPr>
        <w:ind w:firstLine="567"/>
        <w:jc w:val="center"/>
        <w:rPr>
          <w:rFonts w:ascii="Times New Roman" w:eastAsia="等线" w:hAnsi="Times New Roman"/>
        </w:rPr>
      </w:pPr>
      <m:oMath>
        <m:r>
          <m:rPr>
            <m:sty m:val="p"/>
          </m:rPr>
          <w:rPr>
            <w:rFonts w:ascii="Cambria Math" w:hAnsi="Cambria Math"/>
            <w:szCs w:val="24"/>
          </w:rPr>
          <m:t>I</m:t>
        </m:r>
        <m:sSub>
          <m:sSubPr>
            <m:ctrlPr>
              <w:rPr>
                <w:rFonts w:ascii="Cambria Math" w:hAnsi="Cambria Math"/>
                <w:szCs w:val="24"/>
                <w:vertAlign w:val="subscript"/>
              </w:rPr>
            </m:ctrlPr>
          </m:sSubPr>
          <m:e>
            <m:d>
              <m:dPr>
                <m:ctrlPr>
                  <w:rPr>
                    <w:rFonts w:ascii="Cambria Math" w:hAnsi="Cambria Math"/>
                    <w:szCs w:val="24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4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4"/>
                      </w:rPr>
                      <m:t>1g</m:t>
                    </m:r>
                  </m:sub>
                </m:sSub>
              </m:e>
            </m:d>
          </m:e>
          <m:sub>
            <m:r>
              <m:rPr>
                <m:sty m:val="p"/>
              </m:rPr>
              <w:rPr>
                <w:rFonts w:ascii="Cambria Math" w:hAnsi="Cambria Math" w:hint="eastAsia"/>
                <w:szCs w:val="24"/>
                <w:vertAlign w:val="subscript"/>
              </w:rPr>
              <m:t>┴</m:t>
            </m:r>
          </m:sub>
        </m:sSub>
        <m:r>
          <m:rPr>
            <m:sty m:val="p"/>
          </m:rPr>
          <w:rPr>
            <w:rFonts w:ascii="Cambria Math" w:eastAsia="等线" w:hAnsi="Cambria Math" w:hint="eastAsia"/>
            <w:szCs w:val="24"/>
            <w:vertAlign w:val="subscript"/>
          </w:rPr>
          <m:t>∝</m:t>
        </m:r>
        <m:sSup>
          <m:sSupPr>
            <m:ctrlPr>
              <w:rPr>
                <w:rFonts w:ascii="Cambria Math" w:eastAsia="等线" w:hAnsi="Cambria Math"/>
                <w:szCs w:val="24"/>
                <w:vertAlign w:val="subscript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ascii="Cambria Math" w:eastAsia="等线" w:hAnsi="Cambria Math"/>
                    <w:i/>
                    <w:szCs w:val="24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等线" w:hAnsi="Cambria Math"/>
                        <w:i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等线" w:hAnsi="Cambria Math"/>
                        <w:szCs w:val="24"/>
                      </w:rPr>
                      <m:t>e</m:t>
                    </m:r>
                  </m:e>
                  <m:sub>
                    <m:r>
                      <w:rPr>
                        <w:rFonts w:ascii="Cambria Math" w:eastAsia="等线" w:hAnsi="Cambria Math"/>
                        <w:szCs w:val="24"/>
                      </w:rPr>
                      <m:t>s</m:t>
                    </m:r>
                  </m:sub>
                </m:sSub>
                <m:r>
                  <w:rPr>
                    <w:rFonts w:ascii="Cambria Math" w:eastAsia="等线" w:hAnsi="Cambria Math"/>
                    <w:szCs w:val="24"/>
                  </w:rPr>
                  <m:t>.R.</m:t>
                </m:r>
                <m:sSub>
                  <m:sSubPr>
                    <m:ctrlPr>
                      <w:rPr>
                        <w:rFonts w:ascii="Cambria Math" w:eastAsia="等线" w:hAnsi="Cambria Math"/>
                        <w:i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等线" w:hAnsi="Cambria Math"/>
                        <w:szCs w:val="24"/>
                      </w:rPr>
                      <m:t>e</m:t>
                    </m:r>
                  </m:e>
                  <m:sub>
                    <m:r>
                      <w:rPr>
                        <w:rFonts w:ascii="Cambria Math" w:eastAsia="等线" w:hAnsi="Cambria Math"/>
                        <w:szCs w:val="24"/>
                      </w:rPr>
                      <m:t>i</m:t>
                    </m:r>
                  </m:sub>
                </m:sSub>
              </m:e>
            </m:d>
          </m:e>
          <m:sup>
            <m:r>
              <w:rPr>
                <w:rFonts w:ascii="Cambria Math" w:eastAsia="等线" w:hAnsi="Cambria Math"/>
                <w:szCs w:val="24"/>
                <w:vertAlign w:val="subscript"/>
              </w:rPr>
              <m:t>2</m:t>
            </m:r>
          </m:sup>
        </m:sSup>
        <m:r>
          <w:rPr>
            <w:rFonts w:ascii="Cambria Math" w:eastAsia="等线" w:hAnsi="Cambria Math" w:hint="eastAsia"/>
            <w:szCs w:val="24"/>
          </w:rPr>
          <m:t>∝</m:t>
        </m:r>
        <m:sSup>
          <m:sSupPr>
            <m:ctrlPr>
              <w:rPr>
                <w:rFonts w:ascii="Cambria Math" w:hAnsi="Cambria Math"/>
                <w:i/>
                <w:szCs w:val="24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ascii="Cambria Math" w:eastAsia="等线" w:hAnsi="Cambria Math"/>
                    <w:i/>
                    <w:szCs w:val="24"/>
                  </w:rPr>
                </m:ctrlPr>
              </m:dPr>
              <m:e>
                <m:d>
                  <m:dPr>
                    <m:ctrlPr>
                      <w:rPr>
                        <w:rFonts w:ascii="Cambria Math" w:eastAsia="等线" w:hAnsi="Cambria Math"/>
                        <w:i/>
                        <w:szCs w:val="24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3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等线" w:hAnsi="Cambria Math"/>
                            <w:i/>
                            <w:szCs w:val="24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cosβ</m:t>
                          </m:r>
                        </m:e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sinβ</m:t>
                          </m:r>
                        </m:e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0</m:t>
                          </m:r>
                        </m:e>
                      </m:mr>
                    </m:m>
                  </m:e>
                </m:d>
                <m:d>
                  <m:dPr>
                    <m:ctrlPr>
                      <w:rPr>
                        <w:rFonts w:ascii="Cambria Math" w:eastAsia="等线" w:hAnsi="Cambria Math"/>
                        <w:i/>
                        <w:szCs w:val="24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3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等线" w:hAnsi="Cambria Math"/>
                            <w:i/>
                            <w:szCs w:val="24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a</m:t>
                          </m:r>
                        </m:e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0</m:t>
                          </m:r>
                        </m:e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0</m:t>
                          </m:r>
                        </m:e>
                      </m:mr>
                      <m:mr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0</m:t>
                          </m:r>
                        </m:e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a</m:t>
                          </m:r>
                        </m:e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0</m:t>
                          </m:r>
                        </m:e>
                      </m:mr>
                      <m:mr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0</m:t>
                          </m:r>
                        </m:e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0</m:t>
                          </m:r>
                        </m:e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c</m:t>
                          </m:r>
                        </m:e>
                      </m:mr>
                    </m:m>
                  </m:e>
                </m:d>
                <m:d>
                  <m:dPr>
                    <m:ctrlPr>
                      <w:rPr>
                        <w:rFonts w:ascii="Cambria Math" w:eastAsia="等线" w:hAnsi="Cambria Math"/>
                        <w:i/>
                        <w:szCs w:val="24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等线" w:hAnsi="Cambria Math"/>
                            <w:i/>
                            <w:szCs w:val="24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-sinβ</m:t>
                          </m:r>
                        </m:e>
                      </m:mr>
                      <m:mr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cosβ</m:t>
                          </m:r>
                        </m:e>
                      </m:mr>
                      <m:mr>
                        <m:e>
                          <m:r>
                            <w:rPr>
                              <w:rFonts w:ascii="Cambria Math" w:eastAsia="等线" w:hAnsi="Cambria Math"/>
                              <w:szCs w:val="24"/>
                            </w:rPr>
                            <m:t>0</m:t>
                          </m:r>
                        </m:e>
                      </m:mr>
                    </m:m>
                  </m:e>
                </m:d>
              </m:e>
            </m:d>
          </m:e>
          <m:sup>
            <m:r>
              <w:rPr>
                <w:rFonts w:ascii="Cambria Math" w:hAnsi="Cambria Math"/>
                <w:szCs w:val="24"/>
              </w:rPr>
              <m:t>2</m:t>
            </m:r>
          </m:sup>
        </m:sSup>
        <m:r>
          <m:rPr>
            <m:sty m:val="p"/>
          </m:rPr>
          <w:rPr>
            <w:rFonts w:ascii="Cambria Math" w:eastAsia="等线" w:hAnsi="Cambria Math" w:hint="eastAsia"/>
            <w:szCs w:val="24"/>
            <w:vertAlign w:val="subscript"/>
          </w:rPr>
          <m:t>∝</m:t>
        </m:r>
        <m:r>
          <w:rPr>
            <w:rFonts w:ascii="Cambria Math" w:hAnsi="Cambria Math"/>
            <w:szCs w:val="24"/>
          </w:rPr>
          <m:t>0</m:t>
        </m:r>
        <m:r>
          <m:rPr>
            <m:sty m:val="p"/>
          </m:rPr>
          <w:rPr>
            <w:rFonts w:ascii="Cambria Math" w:hAnsi="Cambria Math" w:hint="eastAsia"/>
            <w:szCs w:val="24"/>
          </w:rPr>
          <m:t xml:space="preserve"> </m:t>
        </m:r>
        <m:r>
          <m:rPr>
            <m:sty m:val="p"/>
          </m:rPr>
          <w:rPr>
            <w:rFonts w:ascii="Cambria Math" w:hAnsi="Cambria Math"/>
            <w:szCs w:val="24"/>
          </w:rPr>
          <m:t xml:space="preserve">     </m:t>
        </m:r>
      </m:oMath>
      <w:r>
        <w:rPr>
          <w:rFonts w:ascii="Times New Roman" w:hAnsi="Times New Roman"/>
          <w:szCs w:val="24"/>
        </w:rPr>
        <w:t xml:space="preserve">      (</w:t>
      </w:r>
      <w:r w:rsidR="00D01C08">
        <w:rPr>
          <w:rFonts w:ascii="Times New Roman" w:hAnsi="Times New Roman" w:hint="eastAsia"/>
          <w:szCs w:val="24"/>
        </w:rPr>
        <w:t>S</w:t>
      </w:r>
      <w:r>
        <w:rPr>
          <w:rFonts w:ascii="Times New Roman" w:hAnsi="Times New Roman"/>
          <w:szCs w:val="24"/>
        </w:rPr>
        <w:t>4)</w:t>
      </w:r>
    </w:p>
    <w:p w14:paraId="6976FFA1" w14:textId="77777777" w:rsidR="00017B99" w:rsidRDefault="00000000">
      <w:pPr>
        <w:jc w:val="center"/>
      </w:pPr>
      <w:r>
        <w:rPr>
          <w:rFonts w:hint="eastAsia"/>
          <w:noProof/>
        </w:rPr>
        <w:drawing>
          <wp:inline distT="0" distB="0" distL="114300" distR="114300" wp14:anchorId="29D2AFD8" wp14:editId="12B0C71D">
            <wp:extent cx="5039995" cy="3386455"/>
            <wp:effectExtent l="0" t="0" r="4445" b="12065"/>
            <wp:docPr id="1" name="图片 1" descr="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S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338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F8DFB" w14:textId="7B149DAA" w:rsidR="00017B99" w:rsidRPr="00AF57E9" w:rsidRDefault="00000000" w:rsidP="00AF57E9">
      <w:pPr>
        <w:pStyle w:val="TSP51figurecaption"/>
        <w:rPr>
          <w:rFonts w:eastAsiaTheme="minorEastAsia" w:hint="eastAsia"/>
          <w:lang w:eastAsia="zh-CN"/>
        </w:rPr>
      </w:pPr>
      <w:r w:rsidRPr="00AF57E9">
        <w:rPr>
          <w:b/>
          <w:bCs/>
        </w:rPr>
        <w:t>Figure S1.</w:t>
      </w:r>
      <w:r>
        <w:rPr>
          <w:rFonts w:hint="eastAsia"/>
        </w:rPr>
        <w:t xml:space="preserve"> </w:t>
      </w:r>
      <w:r>
        <w:t xml:space="preserve">The structural and compositional analysis of the products with </w:t>
      </w:r>
      <w:r>
        <w:rPr>
          <w:rFonts w:ascii="Times New Roman" w:hAnsi="Times New Roman"/>
        </w:rPr>
        <w:t>PbI</w:t>
      </w:r>
      <w:r>
        <w:rPr>
          <w:rFonts w:ascii="Times New Roman" w:hAnsi="Times New Roman"/>
          <w:vertAlign w:val="subscript"/>
        </w:rPr>
        <w:t>2</w:t>
      </w:r>
      <w:r>
        <w:rPr>
          <w:rFonts w:ascii="Times New Roman" w:hAnsi="Times New Roman"/>
        </w:rPr>
        <w:t xml:space="preserve"> </w:t>
      </w:r>
      <w:r>
        <w:t xml:space="preserve">assisted growth. </w:t>
      </w:r>
      <w:r>
        <w:rPr>
          <w:color w:val="000000" w:themeColor="text1"/>
        </w:rPr>
        <w:t>(a)</w:t>
      </w:r>
      <w:r>
        <w:rPr>
          <w:rFonts w:eastAsia="宋体" w:hint="eastAsia"/>
          <w:color w:val="000000" w:themeColor="text1"/>
          <w:lang w:eastAsia="zh-CN"/>
        </w:rPr>
        <w:t>-</w:t>
      </w:r>
      <w:r>
        <w:rPr>
          <w:color w:val="000000" w:themeColor="text1"/>
        </w:rPr>
        <w:t>(b) SEM image, (c) EDS elemental mapping of Pb, Sn, S and PbSnS</w:t>
      </w:r>
      <w:r>
        <w:rPr>
          <w:color w:val="000000" w:themeColor="text1"/>
          <w:vertAlign w:val="subscript"/>
        </w:rPr>
        <w:t>3</w:t>
      </w:r>
      <w:r>
        <w:rPr>
          <w:color w:val="000000" w:themeColor="text1"/>
        </w:rPr>
        <w:t>, (d) and (e) XRD pattern and Raman of PbSnS</w:t>
      </w:r>
      <w:r>
        <w:rPr>
          <w:color w:val="000000" w:themeColor="text1"/>
          <w:vertAlign w:val="subscript"/>
        </w:rPr>
        <w:t xml:space="preserve">3 </w:t>
      </w:r>
      <w:r>
        <w:rPr>
          <w:color w:val="000000" w:themeColor="text1"/>
        </w:rPr>
        <w:t>nanowire,</w:t>
      </w:r>
      <w:r>
        <w:t xml:space="preserve"> respectively</w:t>
      </w:r>
      <w:r>
        <w:rPr>
          <w:color w:val="000000" w:themeColor="text1"/>
        </w:rPr>
        <w:t>.</w:t>
      </w:r>
    </w:p>
    <w:p w14:paraId="23668E62" w14:textId="77777777" w:rsidR="00017B99" w:rsidRDefault="00000000">
      <w:pPr>
        <w:jc w:val="center"/>
      </w:pPr>
      <w:r>
        <w:rPr>
          <w:rFonts w:hint="eastAsia"/>
          <w:noProof/>
        </w:rPr>
        <w:lastRenderedPageBreak/>
        <w:drawing>
          <wp:inline distT="0" distB="0" distL="114300" distR="114300" wp14:anchorId="22D36E9E" wp14:editId="24475707">
            <wp:extent cx="5039995" cy="3733165"/>
            <wp:effectExtent l="0" t="0" r="4445" b="635"/>
            <wp:docPr id="2" name="图片 2" descr="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S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373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7101EC" w14:textId="77777777" w:rsidR="00017B99" w:rsidRDefault="00000000">
      <w:pPr>
        <w:pStyle w:val="TSP51figurecaption"/>
      </w:pPr>
      <w:r w:rsidRPr="00525451">
        <w:rPr>
          <w:b/>
          <w:bCs/>
        </w:rPr>
        <w:t>Figure S2.</w:t>
      </w:r>
      <w:r>
        <w:t xml:space="preserve"> Atomic force microscopy (AFM) characterization of SnS</w:t>
      </w:r>
      <w:r>
        <w:rPr>
          <w:vertAlign w:val="subscript"/>
        </w:rPr>
        <w:t xml:space="preserve">2 </w:t>
      </w:r>
      <w:r>
        <w:t>nanosheets. (a)-(c) AFM images and corresponding height profiles of SnS</w:t>
      </w:r>
      <w:r>
        <w:rPr>
          <w:vertAlign w:val="subscript"/>
        </w:rPr>
        <w:t xml:space="preserve">2 </w:t>
      </w:r>
      <w:r>
        <w:t xml:space="preserve">growth with assistant of the KI, </w:t>
      </w:r>
      <w:proofErr w:type="spellStart"/>
      <w:r>
        <w:t>CsCl</w:t>
      </w:r>
      <w:proofErr w:type="spellEnd"/>
      <w:r>
        <w:t xml:space="preserve"> and KI/</w:t>
      </w:r>
      <w:proofErr w:type="spellStart"/>
      <w:r>
        <w:t>CsCl</w:t>
      </w:r>
      <w:proofErr w:type="spellEnd"/>
      <w:r>
        <w:t xml:space="preserve"> (</w:t>
      </w:r>
      <w:proofErr w:type="spellStart"/>
      <w:proofErr w:type="gramStart"/>
      <w:r>
        <w:t>KI:CsCl</w:t>
      </w:r>
      <w:proofErr w:type="spellEnd"/>
      <w:proofErr w:type="gramEnd"/>
      <w:r>
        <w:t>=1:1); (d)-(e) the average thickness</w:t>
      </w:r>
      <w:r>
        <w:rPr>
          <w:rFonts w:eastAsia="宋体" w:hint="eastAsia"/>
          <w:lang w:eastAsia="zh-CN"/>
        </w:rPr>
        <w:t xml:space="preserve"> </w:t>
      </w:r>
      <w:r>
        <w:t>and length of the SnS</w:t>
      </w:r>
      <w:r>
        <w:rPr>
          <w:vertAlign w:val="subscript"/>
        </w:rPr>
        <w:t xml:space="preserve">2 </w:t>
      </w:r>
      <w:r>
        <w:t xml:space="preserve">growth with assistant of the KI, </w:t>
      </w:r>
      <w:proofErr w:type="spellStart"/>
      <w:r>
        <w:t>CsCl</w:t>
      </w:r>
      <w:proofErr w:type="spellEnd"/>
      <w:r>
        <w:t xml:space="preserve"> and KI/</w:t>
      </w:r>
      <w:proofErr w:type="spellStart"/>
      <w:r>
        <w:t>CsCl</w:t>
      </w:r>
      <w:proofErr w:type="spellEnd"/>
      <w:r>
        <w:t xml:space="preserve"> (</w:t>
      </w:r>
      <w:proofErr w:type="spellStart"/>
      <w:proofErr w:type="gramStart"/>
      <w:r>
        <w:t>KI:CsCl</w:t>
      </w:r>
      <w:proofErr w:type="spellEnd"/>
      <w:proofErr w:type="gramEnd"/>
      <w:r>
        <w:t>=1:1).</w:t>
      </w:r>
    </w:p>
    <w:p w14:paraId="54CCB0AD" w14:textId="77777777" w:rsidR="00017B99" w:rsidRDefault="00000000">
      <w:pPr>
        <w:jc w:val="center"/>
      </w:pPr>
      <w:r>
        <w:rPr>
          <w:rFonts w:hint="eastAsia"/>
          <w:noProof/>
        </w:rPr>
        <w:drawing>
          <wp:inline distT="0" distB="0" distL="114300" distR="114300" wp14:anchorId="5FE260C9" wp14:editId="0AA7F689">
            <wp:extent cx="5039995" cy="1916430"/>
            <wp:effectExtent l="0" t="0" r="4445" b="3810"/>
            <wp:docPr id="3" name="图片 3" descr="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S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1916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2B0FE" w14:textId="77777777" w:rsidR="00017B99" w:rsidRDefault="00000000">
      <w:pPr>
        <w:pStyle w:val="TSP51figurecaption"/>
        <w:rPr>
          <w:shd w:val="clear" w:color="auto" w:fill="FFFFFF"/>
        </w:rPr>
      </w:pPr>
      <w:r w:rsidRPr="000A5985">
        <w:rPr>
          <w:b/>
          <w:bCs/>
          <w:shd w:val="clear" w:color="auto" w:fill="FFFFFF"/>
        </w:rPr>
        <w:t xml:space="preserve">Figure </w:t>
      </w:r>
      <w:r w:rsidRPr="000A5985">
        <w:rPr>
          <w:b/>
          <w:bCs/>
        </w:rPr>
        <w:t>S3</w:t>
      </w:r>
      <w:r w:rsidRPr="000A5985">
        <w:rPr>
          <w:b/>
          <w:bCs/>
          <w:shd w:val="clear" w:color="auto" w:fill="FFFFFF"/>
        </w:rPr>
        <w:t>.</w:t>
      </w:r>
      <w:r>
        <w:rPr>
          <w:shd w:val="clear" w:color="auto" w:fill="FFFFFF"/>
        </w:rPr>
        <w:t xml:space="preserve"> </w:t>
      </w:r>
      <w:r>
        <w:t>The theoretical calculation of SnS</w:t>
      </w:r>
      <w:r>
        <w:rPr>
          <w:vertAlign w:val="subscript"/>
        </w:rPr>
        <w:t xml:space="preserve">2 </w:t>
      </w:r>
      <w:r>
        <w:rPr>
          <w:shd w:val="clear" w:color="auto" w:fill="FFFFFF"/>
        </w:rPr>
        <w:t xml:space="preserve">crystal properties. (a) Formation energy of </w:t>
      </w:r>
      <w:r>
        <w:t>SnS</w:t>
      </w:r>
      <w:r>
        <w:rPr>
          <w:vertAlign w:val="subscript"/>
        </w:rPr>
        <w:t xml:space="preserve">2 </w:t>
      </w:r>
      <w:r>
        <w:rPr>
          <w:shd w:val="clear" w:color="auto" w:fill="FFFFFF"/>
        </w:rPr>
        <w:t xml:space="preserve">crystal on (100), (010) and (001) plane; (b) Binding energy of Cs and K on </w:t>
      </w:r>
      <w:r>
        <w:t>SnS</w:t>
      </w:r>
      <w:r>
        <w:rPr>
          <w:vertAlign w:val="subscript"/>
        </w:rPr>
        <w:t>2</w:t>
      </w:r>
      <w:r>
        <w:rPr>
          <w:shd w:val="clear" w:color="auto" w:fill="FFFFFF"/>
        </w:rPr>
        <w:t xml:space="preserve"> (100), (010) and (001) surface of </w:t>
      </w:r>
      <w:r>
        <w:t>SnS</w:t>
      </w:r>
      <w:r>
        <w:rPr>
          <w:vertAlign w:val="subscript"/>
        </w:rPr>
        <w:t>2</w:t>
      </w:r>
      <w:r>
        <w:rPr>
          <w:shd w:val="clear" w:color="auto" w:fill="FFFFFF"/>
        </w:rPr>
        <w:t>.</w:t>
      </w:r>
    </w:p>
    <w:p w14:paraId="0DEC5458" w14:textId="77777777" w:rsidR="00017B99" w:rsidRDefault="00000000">
      <w:pPr>
        <w:jc w:val="center"/>
      </w:pPr>
      <w:r>
        <w:rPr>
          <w:rFonts w:hint="eastAsia"/>
          <w:noProof/>
        </w:rPr>
        <w:lastRenderedPageBreak/>
        <w:drawing>
          <wp:inline distT="0" distB="0" distL="114300" distR="114300" wp14:anchorId="68A98E61" wp14:editId="4BC80A4F">
            <wp:extent cx="5039995" cy="1600200"/>
            <wp:effectExtent l="0" t="0" r="4445" b="0"/>
            <wp:docPr id="4" name="图片 4" descr="S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S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C790E" w14:textId="77777777" w:rsidR="00017B99" w:rsidRDefault="00000000">
      <w:pPr>
        <w:pStyle w:val="TSP51figurecaption"/>
        <w:rPr>
          <w:color w:val="auto"/>
        </w:rPr>
      </w:pPr>
      <w:r w:rsidRPr="00D852F5">
        <w:rPr>
          <w:b/>
          <w:bCs/>
        </w:rPr>
        <w:t>Figure S4.</w:t>
      </w:r>
      <w:r>
        <w:rPr>
          <w:color w:val="auto"/>
        </w:rPr>
        <w:t xml:space="preserve"> XPS analysis after transferred to SiO</w:t>
      </w:r>
      <w:r>
        <w:rPr>
          <w:color w:val="auto"/>
          <w:vertAlign w:val="subscript"/>
        </w:rPr>
        <w:t>2</w:t>
      </w:r>
      <w:r>
        <w:rPr>
          <w:color w:val="auto"/>
        </w:rPr>
        <w:t>/Si (300 nm SiO</w:t>
      </w:r>
      <w:r>
        <w:rPr>
          <w:color w:val="auto"/>
          <w:vertAlign w:val="subscript"/>
        </w:rPr>
        <w:t>2</w:t>
      </w:r>
      <w:r>
        <w:rPr>
          <w:color w:val="auto"/>
        </w:rPr>
        <w:t>). (a) XPS survey spectrum after transferred to SiO</w:t>
      </w:r>
      <w:r>
        <w:rPr>
          <w:color w:val="auto"/>
          <w:vertAlign w:val="subscript"/>
        </w:rPr>
        <w:t>2</w:t>
      </w:r>
      <w:r>
        <w:rPr>
          <w:color w:val="auto"/>
        </w:rPr>
        <w:t>/Si (300 nm SiO</w:t>
      </w:r>
      <w:r>
        <w:rPr>
          <w:color w:val="auto"/>
          <w:vertAlign w:val="subscript"/>
        </w:rPr>
        <w:t>2</w:t>
      </w:r>
      <w:r>
        <w:rPr>
          <w:color w:val="auto"/>
        </w:rPr>
        <w:t>), confirming all expected elements; (b) Sn 3d region, fitted with a single spin-split doublet; (c) S 2p region, deconvoluted into two peaks; (d) Cs 3d region, fitted with a spin-split doublet; (e)-(g) Cl 2p, K 2p, and I 3d regions, showing no detectable signals.</w:t>
      </w:r>
    </w:p>
    <w:p w14:paraId="040223B1" w14:textId="77777777" w:rsidR="00017B99" w:rsidRDefault="00000000">
      <w:pPr>
        <w:spacing w:line="400" w:lineRule="atLeast"/>
        <w:jc w:val="center"/>
        <w:rPr>
          <w:color w:val="0000FF"/>
        </w:rPr>
      </w:pPr>
      <w:r>
        <w:rPr>
          <w:rFonts w:hint="eastAsia"/>
          <w:noProof/>
          <w:color w:val="0000FF"/>
        </w:rPr>
        <w:drawing>
          <wp:inline distT="0" distB="0" distL="114300" distR="114300" wp14:anchorId="54406831" wp14:editId="45EA046E">
            <wp:extent cx="5039995" cy="1891030"/>
            <wp:effectExtent l="0" t="0" r="4445" b="13970"/>
            <wp:docPr id="5" name="图片 5" descr="S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S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189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FF07A" w14:textId="77777777" w:rsidR="00017B99" w:rsidRDefault="00017B99">
      <w:pPr>
        <w:spacing w:line="400" w:lineRule="atLeast"/>
        <w:jc w:val="center"/>
        <w:rPr>
          <w:color w:val="0000FF"/>
        </w:rPr>
      </w:pPr>
    </w:p>
    <w:p w14:paraId="2159547C" w14:textId="77777777" w:rsidR="00017B99" w:rsidRDefault="00000000">
      <w:pPr>
        <w:pStyle w:val="TSP51figurecaption"/>
      </w:pPr>
      <w:r w:rsidRPr="00BB15E9">
        <w:rPr>
          <w:b/>
          <w:bCs/>
        </w:rPr>
        <w:t>Figure S5.</w:t>
      </w:r>
      <w:r>
        <w:rPr>
          <w:rFonts w:hint="eastAsia"/>
        </w:rPr>
        <w:t xml:space="preserve"> </w:t>
      </w:r>
      <w:r>
        <w:t>The Raman spectroscopy of SnS</w:t>
      </w:r>
      <w:r>
        <w:rPr>
          <w:rFonts w:hint="eastAsia"/>
          <w:vertAlign w:val="subscript"/>
        </w:rPr>
        <w:t>2</w:t>
      </w:r>
      <w:r>
        <w:t xml:space="preserve"> nanosheets on the growth substrate and the transferred substrates. (a) the Raman spectroscopy of SnS</w:t>
      </w:r>
      <w:r>
        <w:rPr>
          <w:rFonts w:hint="eastAsia"/>
          <w:vertAlign w:val="subscript"/>
        </w:rPr>
        <w:t>2</w:t>
      </w:r>
      <w:r>
        <w:t xml:space="preserve"> nanosheets on the growth substrate and the transferred substrates, including Si, </w:t>
      </w:r>
      <w:r>
        <w:rPr>
          <w:color w:val="auto"/>
        </w:rPr>
        <w:t>SiO</w:t>
      </w:r>
      <w:r>
        <w:rPr>
          <w:color w:val="auto"/>
          <w:vertAlign w:val="subscript"/>
        </w:rPr>
        <w:t>2</w:t>
      </w:r>
      <w:r>
        <w:rPr>
          <w:color w:val="auto"/>
        </w:rPr>
        <w:t>/Si (300 nm SiO</w:t>
      </w:r>
      <w:r>
        <w:rPr>
          <w:color w:val="auto"/>
          <w:vertAlign w:val="subscript"/>
        </w:rPr>
        <w:t>2</w:t>
      </w:r>
      <w:r>
        <w:rPr>
          <w:color w:val="auto"/>
        </w:rPr>
        <w:t>)</w:t>
      </w:r>
      <w:r>
        <w:t xml:space="preserve"> and quartz glass; (b) the average Raman peak shift on the growth substrate and the transferred substrates.</w:t>
      </w:r>
    </w:p>
    <w:p w14:paraId="4F2494B0" w14:textId="6927B703" w:rsidR="00D01C08" w:rsidRDefault="00D01C08">
      <w:pPr>
        <w:widowControl/>
        <w:jc w:val="left"/>
        <w:rPr>
          <w:rFonts w:ascii="Minion Pro" w:eastAsia="Times New Roman" w:hAnsi="Minion Pro" w:cs="Times New Roman"/>
          <w:snapToGrid w:val="0"/>
          <w:color w:val="000000"/>
          <w:kern w:val="0"/>
          <w:sz w:val="22"/>
          <w:lang w:eastAsia="de-DE" w:bidi="en-US"/>
        </w:rPr>
      </w:pPr>
      <w:r>
        <w:br w:type="page"/>
      </w:r>
    </w:p>
    <w:p w14:paraId="4968F59C" w14:textId="77777777" w:rsidR="00017B99" w:rsidRDefault="00000000" w:rsidP="00D01C08">
      <w:pPr>
        <w:pStyle w:val="TSP21heading1"/>
        <w:rPr>
          <w:rFonts w:eastAsiaTheme="minorEastAsia"/>
        </w:rPr>
      </w:pPr>
      <w:r>
        <w:rPr>
          <w:rFonts w:eastAsiaTheme="minorEastAsia" w:hint="eastAsia"/>
        </w:rPr>
        <w:lastRenderedPageBreak/>
        <w:t>Reference</w:t>
      </w:r>
    </w:p>
    <w:p w14:paraId="63048262" w14:textId="5F968390" w:rsidR="00017B99" w:rsidRPr="00833EB3" w:rsidRDefault="00000000" w:rsidP="00833EB3">
      <w:pPr>
        <w:pStyle w:val="EndNoteBibliography"/>
        <w:widowControl/>
        <w:numPr>
          <w:ilvl w:val="0"/>
          <w:numId w:val="6"/>
        </w:numPr>
        <w:adjustRightInd w:val="0"/>
        <w:snapToGrid w:val="0"/>
        <w:spacing w:line="228" w:lineRule="auto"/>
        <w:ind w:left="425" w:hanging="425"/>
        <w:rPr>
          <w:sz w:val="20"/>
        </w:rPr>
      </w:pPr>
      <w:r w:rsidRPr="00833EB3">
        <w:rPr>
          <w:sz w:val="20"/>
        </w:rPr>
        <w:fldChar w:fldCharType="begin"/>
      </w:r>
      <w:r w:rsidRPr="00833EB3">
        <w:rPr>
          <w:sz w:val="20"/>
        </w:rPr>
        <w:instrText xml:space="preserve"> ADDIN EN.REFLIST </w:instrText>
      </w:r>
      <w:r w:rsidRPr="00833EB3">
        <w:rPr>
          <w:sz w:val="20"/>
        </w:rPr>
        <w:fldChar w:fldCharType="separate"/>
      </w:r>
      <w:r w:rsidRPr="00833EB3">
        <w:rPr>
          <w:sz w:val="20"/>
        </w:rPr>
        <w:t xml:space="preserve">Loudon, R., The Raman effect in crystals. </w:t>
      </w:r>
      <w:r w:rsidRPr="00833EB3">
        <w:rPr>
          <w:i/>
          <w:sz w:val="20"/>
        </w:rPr>
        <w:t xml:space="preserve">Adv. Phys. </w:t>
      </w:r>
      <w:r w:rsidRPr="00833EB3">
        <w:rPr>
          <w:b/>
          <w:sz w:val="20"/>
        </w:rPr>
        <w:t>1964,</w:t>
      </w:r>
      <w:r w:rsidRPr="00833EB3">
        <w:rPr>
          <w:sz w:val="20"/>
        </w:rPr>
        <w:t xml:space="preserve"> </w:t>
      </w:r>
      <w:r w:rsidRPr="00833EB3">
        <w:rPr>
          <w:i/>
          <w:sz w:val="20"/>
        </w:rPr>
        <w:t>13</w:t>
      </w:r>
      <w:r w:rsidRPr="00833EB3">
        <w:rPr>
          <w:sz w:val="20"/>
        </w:rPr>
        <w:t xml:space="preserve"> (52), 423-482.</w:t>
      </w:r>
    </w:p>
    <w:p w14:paraId="1EA48D6F" w14:textId="6435236D" w:rsidR="00017B99" w:rsidRPr="00833EB3" w:rsidRDefault="00000000" w:rsidP="00833EB3">
      <w:pPr>
        <w:pStyle w:val="EndNoteBibliography"/>
        <w:widowControl/>
        <w:numPr>
          <w:ilvl w:val="0"/>
          <w:numId w:val="6"/>
        </w:numPr>
        <w:adjustRightInd w:val="0"/>
        <w:snapToGrid w:val="0"/>
        <w:spacing w:line="228" w:lineRule="auto"/>
        <w:ind w:left="425" w:hanging="425"/>
        <w:rPr>
          <w:sz w:val="20"/>
        </w:rPr>
      </w:pPr>
      <w:r w:rsidRPr="00833EB3">
        <w:rPr>
          <w:sz w:val="20"/>
        </w:rPr>
        <w:t>Ding, Y.; Zheng, W.; Lu, X.; Liang, Y.; Zhu, Y.; Jin, M.; Huang, F., Raman Tensor of Layered SnS</w:t>
      </w:r>
      <w:r w:rsidRPr="00833EB3">
        <w:rPr>
          <w:sz w:val="20"/>
          <w:vertAlign w:val="subscript"/>
        </w:rPr>
        <w:t>2</w:t>
      </w:r>
      <w:r w:rsidRPr="00833EB3">
        <w:rPr>
          <w:sz w:val="20"/>
        </w:rPr>
        <w:t xml:space="preserve">. </w:t>
      </w:r>
      <w:r w:rsidRPr="00833EB3">
        <w:rPr>
          <w:i/>
          <w:sz w:val="20"/>
        </w:rPr>
        <w:t xml:space="preserve">The Journal of Physical Chemistry Letters </w:t>
      </w:r>
      <w:r w:rsidRPr="00833EB3">
        <w:rPr>
          <w:b/>
          <w:sz w:val="20"/>
        </w:rPr>
        <w:t>2020,</w:t>
      </w:r>
      <w:r w:rsidRPr="00833EB3">
        <w:rPr>
          <w:sz w:val="20"/>
        </w:rPr>
        <w:t xml:space="preserve"> </w:t>
      </w:r>
      <w:r w:rsidRPr="00833EB3">
        <w:rPr>
          <w:i/>
          <w:sz w:val="20"/>
        </w:rPr>
        <w:t>11</w:t>
      </w:r>
      <w:r w:rsidRPr="00833EB3">
        <w:rPr>
          <w:sz w:val="20"/>
        </w:rPr>
        <w:t xml:space="preserve"> (23), 10094-10099.</w:t>
      </w:r>
      <w:r w:rsidRPr="00833EB3">
        <w:rPr>
          <w:sz w:val="20"/>
        </w:rPr>
        <w:fldChar w:fldCharType="end"/>
      </w:r>
    </w:p>
    <w:sectPr w:rsidR="00017B99" w:rsidRPr="00833EB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nion Pro">
    <w:altName w:val="Times New Roman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Times">
    <w:altName w:val="Times New Roman"/>
    <w:panose1 w:val="02020603050405020304"/>
    <w:charset w:val="00"/>
    <w:family w:val="roman"/>
    <w:pitch w:val="default"/>
    <w:sig w:usb0="00000000" w:usb1="00000000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NimbusRomNo9L-ReguItal">
    <w:altName w:val="Times New Roman"/>
    <w:charset w:val="00"/>
    <w:family w:val="auto"/>
    <w:pitch w:val="default"/>
    <w:sig w:usb0="00000000" w:usb1="00000000" w:usb2="00000000" w:usb3="00000000" w:csb0="00000001" w:csb1="00000000"/>
  </w:font>
  <w:font w:name="Times-Italic">
    <w:altName w:val="Times New Roman"/>
    <w:charset w:val="00"/>
    <w:family w:val="roman"/>
    <w:pitch w:val="default"/>
    <w:sig w:usb0="00000000" w:usb1="00000000" w:usb2="00000000" w:usb3="00000000" w:csb0="00000001" w:csb1="00000000"/>
  </w:font>
  <w:font w:name="RMTMI">
    <w:altName w:val="方正舒体"/>
    <w:charset w:val="86"/>
    <w:family w:val="auto"/>
    <w:pitch w:val="default"/>
    <w:sig w:usb0="00000000" w:usb1="00000000" w:usb2="00000010" w:usb3="00000000" w:csb0="00040000" w:csb1="00000000"/>
  </w:font>
  <w:font w:name="MTSY">
    <w:altName w:val="Malgun Gothic"/>
    <w:charset w:val="81"/>
    <w:family w:val="auto"/>
    <w:pitch w:val="default"/>
    <w:sig w:usb0="00000000" w:usb1="00000000" w:usb2="00000010" w:usb3="00000000" w:csb0="0008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B468F5"/>
    <w:multiLevelType w:val="hybridMultilevel"/>
    <w:tmpl w:val="22C8BEA4"/>
    <w:lvl w:ilvl="0" w:tplc="9362804C">
      <w:start w:val="1"/>
      <w:numFmt w:val="bullet"/>
      <w:pStyle w:val="TSP38bullet"/>
      <w:lvlText w:val=""/>
      <w:lvlJc w:val="left"/>
      <w:pPr>
        <w:ind w:left="425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52085B"/>
    <w:multiLevelType w:val="hybridMultilevel"/>
    <w:tmpl w:val="A3C087DA"/>
    <w:lvl w:ilvl="0" w:tplc="C60EC2C8">
      <w:start w:val="1"/>
      <w:numFmt w:val="decimal"/>
      <w:pStyle w:val="TSP71FootNotes"/>
      <w:lvlText w:val="%1."/>
      <w:lvlJc w:val="left"/>
      <w:pPr>
        <w:ind w:left="425" w:hanging="425"/>
      </w:pPr>
      <w:rPr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AD4CB9"/>
    <w:multiLevelType w:val="hybridMultilevel"/>
    <w:tmpl w:val="13C032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0012E46"/>
    <w:multiLevelType w:val="hybridMultilevel"/>
    <w:tmpl w:val="ACE8C8DE"/>
    <w:lvl w:ilvl="0" w:tplc="7E7860DC">
      <w:start w:val="1"/>
      <w:numFmt w:val="decimal"/>
      <w:pStyle w:val="TSP71References"/>
      <w:lvlText w:val="%1."/>
      <w:lvlJc w:val="left"/>
      <w:pPr>
        <w:ind w:left="425" w:hanging="425"/>
      </w:pPr>
      <w:rPr>
        <w:rFonts w:hint="eastAsia"/>
        <w:b w:val="0"/>
        <w:i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6311A3B"/>
    <w:multiLevelType w:val="hybridMultilevel"/>
    <w:tmpl w:val="65283C1C"/>
    <w:lvl w:ilvl="0" w:tplc="69C2AF14">
      <w:start w:val="1"/>
      <w:numFmt w:val="decimal"/>
      <w:pStyle w:val="TSP37itemize"/>
      <w:lvlText w:val="%1."/>
      <w:lvlJc w:val="left"/>
      <w:pPr>
        <w:ind w:left="425" w:hanging="425"/>
      </w:pPr>
      <w:rPr>
        <w:rFonts w:hint="eastAsia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0"/>
        <w:u w:val="none"/>
        <w:effect w:val="none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num w:numId="1" w16cid:durableId="1468084760">
    <w:abstractNumId w:val="4"/>
  </w:num>
  <w:num w:numId="2" w16cid:durableId="1826512109">
    <w:abstractNumId w:val="0"/>
  </w:num>
  <w:num w:numId="3" w16cid:durableId="722022508">
    <w:abstractNumId w:val="1"/>
  </w:num>
  <w:num w:numId="4" w16cid:durableId="1462917994">
    <w:abstractNumId w:val="3"/>
  </w:num>
  <w:num w:numId="5" w16cid:durableId="487743671">
    <w:abstractNumId w:val="1"/>
  </w:num>
  <w:num w:numId="6" w16cid:durableId="18737635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bordersDoNotSurroundHeader/>
  <w:bordersDoNotSurroundFooter/>
  <w:proofState w:spelling="clean" w:grammar="clean"/>
  <w:defaultTabStop w:val="51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ACS Nano 2023-10-5 Copy&lt;/Style&gt;&lt;LeftDelim&gt;{&lt;/LeftDelim&gt;&lt;RightDelim&gt;}&lt;/RightDelim&gt;&lt;FontName&gt;Minion Pro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v20xvzvdweewaxe50zt50xavw550wr2z2dz5&quot;&gt;My EndNote Library-Saved&lt;record-ids&gt;&lt;item&gt;196&lt;/item&gt;&lt;item&gt;340&lt;/item&gt;&lt;/record-ids&gt;&lt;/item&gt;&lt;/Libraries&gt;"/>
  </w:docVars>
  <w:rsids>
    <w:rsidRoot w:val="00411C70"/>
    <w:rsid w:val="00017B99"/>
    <w:rsid w:val="00075A08"/>
    <w:rsid w:val="00090C5C"/>
    <w:rsid w:val="000A5985"/>
    <w:rsid w:val="000D18E9"/>
    <w:rsid w:val="000F59EE"/>
    <w:rsid w:val="001328BD"/>
    <w:rsid w:val="001B2545"/>
    <w:rsid w:val="001C361B"/>
    <w:rsid w:val="00203E87"/>
    <w:rsid w:val="00252340"/>
    <w:rsid w:val="00322E4A"/>
    <w:rsid w:val="00324FBB"/>
    <w:rsid w:val="0033055A"/>
    <w:rsid w:val="00343DD2"/>
    <w:rsid w:val="003776FE"/>
    <w:rsid w:val="003A29AB"/>
    <w:rsid w:val="00411C70"/>
    <w:rsid w:val="004148D5"/>
    <w:rsid w:val="00414D01"/>
    <w:rsid w:val="0043063A"/>
    <w:rsid w:val="0045013E"/>
    <w:rsid w:val="004937D7"/>
    <w:rsid w:val="004E0997"/>
    <w:rsid w:val="0050780B"/>
    <w:rsid w:val="0052527F"/>
    <w:rsid w:val="00525451"/>
    <w:rsid w:val="0068436C"/>
    <w:rsid w:val="006C0052"/>
    <w:rsid w:val="007367F0"/>
    <w:rsid w:val="00744F58"/>
    <w:rsid w:val="00772F02"/>
    <w:rsid w:val="00786CC9"/>
    <w:rsid w:val="007E23D9"/>
    <w:rsid w:val="00833563"/>
    <w:rsid w:val="00833EB3"/>
    <w:rsid w:val="00842B1E"/>
    <w:rsid w:val="00864543"/>
    <w:rsid w:val="00943D25"/>
    <w:rsid w:val="009455CC"/>
    <w:rsid w:val="009A2119"/>
    <w:rsid w:val="00A323CE"/>
    <w:rsid w:val="00AF57E9"/>
    <w:rsid w:val="00BB15E9"/>
    <w:rsid w:val="00C90EF8"/>
    <w:rsid w:val="00D01C08"/>
    <w:rsid w:val="00D35621"/>
    <w:rsid w:val="00D41507"/>
    <w:rsid w:val="00D45470"/>
    <w:rsid w:val="00D61FE4"/>
    <w:rsid w:val="00D852F5"/>
    <w:rsid w:val="00DF2165"/>
    <w:rsid w:val="00E06505"/>
    <w:rsid w:val="00E96D73"/>
    <w:rsid w:val="00F05642"/>
    <w:rsid w:val="00F11001"/>
    <w:rsid w:val="0EFE61C3"/>
    <w:rsid w:val="0F8E0DF2"/>
    <w:rsid w:val="53D56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8C33EB8"/>
  <w15:docId w15:val="{040A122B-5175-4D60-B084-A9FE5DF31B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iPriority="0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CommentTextChar"/>
    <w:qFormat/>
    <w:pPr>
      <w:spacing w:line="400" w:lineRule="exact"/>
      <w:ind w:firstLineChars="200" w:firstLine="200"/>
      <w:jc w:val="left"/>
    </w:pPr>
    <w:rPr>
      <w:rFonts w:ascii="Times New Roman" w:eastAsia="宋体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Hyperlink">
    <w:name w:val="Hyperlink"/>
    <w:uiPriority w:val="99"/>
    <w:qFormat/>
    <w:rPr>
      <w:color w:val="2E74B5" w:themeColor="accent1" w:themeShade="BF"/>
      <w:u w:val="single"/>
    </w:rPr>
  </w:style>
  <w:style w:type="character" w:customStyle="1" w:styleId="HeaderChar">
    <w:name w:val="Header Char"/>
    <w:basedOn w:val="DefaultParagraphFont"/>
    <w:link w:val="Header"/>
    <w:uiPriority w:val="99"/>
    <w:qFormat/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qFormat/>
    <w:rPr>
      <w:sz w:val="18"/>
      <w:szCs w:val="18"/>
    </w:rPr>
  </w:style>
  <w:style w:type="paragraph" w:customStyle="1" w:styleId="TSP12title">
    <w:name w:val="TSP_1.2_title"/>
    <w:next w:val="Normal"/>
    <w:qFormat/>
    <w:rsid w:val="00D01C08"/>
    <w:pPr>
      <w:adjustRightInd w:val="0"/>
      <w:snapToGrid w:val="0"/>
      <w:spacing w:before="240" w:after="240" w:line="240" w:lineRule="atLeast"/>
    </w:pPr>
    <w:rPr>
      <w:rFonts w:ascii="Minion Pro" w:eastAsia="Times New Roman" w:hAnsi="Minion Pro" w:cs="Times New Roman"/>
      <w:b/>
      <w:snapToGrid w:val="0"/>
      <w:color w:val="000000"/>
      <w:sz w:val="28"/>
      <w:lang w:eastAsia="de-DE" w:bidi="en-US"/>
    </w:rPr>
  </w:style>
  <w:style w:type="paragraph" w:customStyle="1" w:styleId="TSP13authornames">
    <w:name w:val="TSP_1.3_authornames"/>
    <w:next w:val="Normal"/>
    <w:qFormat/>
    <w:rsid w:val="00D01C08"/>
    <w:pPr>
      <w:adjustRightInd w:val="0"/>
      <w:snapToGrid w:val="0"/>
      <w:spacing w:after="240" w:line="240" w:lineRule="atLeast"/>
    </w:pPr>
    <w:rPr>
      <w:rFonts w:ascii="Minion Pro" w:eastAsia="Times New Roman" w:hAnsi="Minion Pro" w:cs="Times New Roman"/>
      <w:b/>
      <w:color w:val="000000"/>
      <w:sz w:val="22"/>
      <w:szCs w:val="22"/>
      <w:lang w:eastAsia="de-DE" w:bidi="en-US"/>
    </w:rPr>
  </w:style>
  <w:style w:type="paragraph" w:customStyle="1" w:styleId="TSP14history">
    <w:name w:val="TSP_1.4_history"/>
    <w:basedOn w:val="Normal"/>
    <w:next w:val="Normal"/>
    <w:autoRedefine/>
    <w:qFormat/>
    <w:rsid w:val="00D01C08"/>
    <w:pPr>
      <w:widowControl/>
      <w:adjustRightInd w:val="0"/>
      <w:snapToGrid w:val="0"/>
      <w:spacing w:before="60" w:after="240" w:line="240" w:lineRule="atLeast"/>
      <w:jc w:val="left"/>
    </w:pPr>
    <w:rPr>
      <w:rFonts w:ascii="Minion Pro" w:eastAsia="Times New Roman" w:hAnsi="Minion Pro" w:cs="Times New Roman"/>
      <w:color w:val="000000"/>
      <w:kern w:val="0"/>
      <w:sz w:val="18"/>
      <w:szCs w:val="20"/>
      <w:lang w:eastAsia="de-DE" w:bidi="en-US"/>
    </w:rPr>
  </w:style>
  <w:style w:type="paragraph" w:customStyle="1" w:styleId="TSP16affiliation">
    <w:name w:val="TSP_1.6_affiliation"/>
    <w:qFormat/>
    <w:rsid w:val="00D01C08"/>
    <w:pPr>
      <w:adjustRightInd w:val="0"/>
      <w:snapToGrid w:val="0"/>
      <w:spacing w:line="240" w:lineRule="atLeast"/>
    </w:pPr>
    <w:rPr>
      <w:rFonts w:ascii="Minion Pro" w:eastAsia="Times New Roman" w:hAnsi="Minion Pro" w:cs="Times New Roman"/>
      <w:color w:val="000000"/>
      <w:sz w:val="18"/>
      <w:szCs w:val="18"/>
      <w:lang w:eastAsia="de-DE" w:bidi="en-US"/>
    </w:rPr>
  </w:style>
  <w:style w:type="paragraph" w:customStyle="1" w:styleId="TSP31text">
    <w:name w:val="TSP_3.1_text"/>
    <w:link w:val="TSP31textChar"/>
    <w:qFormat/>
    <w:rsid w:val="00D01C08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51figurecaption">
    <w:name w:val="TSP_5.1_figure_caption"/>
    <w:qFormat/>
    <w:rsid w:val="00D01C08"/>
    <w:pPr>
      <w:adjustRightInd w:val="0"/>
      <w:snapToGrid w:val="0"/>
      <w:spacing w:before="120" w:after="240" w:line="240" w:lineRule="atLeast"/>
      <w:jc w:val="both"/>
    </w:pPr>
    <w:rPr>
      <w:rFonts w:ascii="Minion Pro" w:eastAsia="Times New Roman" w:hAnsi="Minion Pro" w:cs="Times New Roman"/>
      <w:color w:val="000000"/>
      <w:lang w:eastAsia="de-DE" w:bidi="en-US"/>
    </w:rPr>
  </w:style>
  <w:style w:type="character" w:customStyle="1" w:styleId="TSP31textChar">
    <w:name w:val="TSP_3.1_text Char"/>
    <w:basedOn w:val="DefaultParagraphFont"/>
    <w:link w:val="TSP31text"/>
    <w:qFormat/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23heading3">
    <w:name w:val="TSP_2.3_heading3"/>
    <w:qFormat/>
    <w:rsid w:val="00D01C08"/>
    <w:pPr>
      <w:adjustRightInd w:val="0"/>
      <w:snapToGrid w:val="0"/>
      <w:spacing w:before="60" w:after="60" w:line="240" w:lineRule="atLeast"/>
      <w:outlineLvl w:val="2"/>
    </w:pPr>
    <w:rPr>
      <w:rFonts w:ascii="Minion Pro" w:eastAsia="Times New Roman" w:hAnsi="Minion Pro" w:cs="Times New Roman"/>
      <w:i/>
      <w:snapToGrid w:val="0"/>
      <w:color w:val="000000"/>
      <w:sz w:val="22"/>
      <w:szCs w:val="22"/>
      <w:lang w:eastAsia="de-DE" w:bidi="en-US"/>
    </w:rPr>
  </w:style>
  <w:style w:type="paragraph" w:customStyle="1" w:styleId="BIEmailAddress">
    <w:name w:val="BI_Email_Address"/>
    <w:basedOn w:val="Normal"/>
    <w:next w:val="Normal"/>
    <w:qFormat/>
    <w:pPr>
      <w:widowControl/>
      <w:spacing w:after="200" w:line="480" w:lineRule="auto"/>
    </w:pPr>
    <w:rPr>
      <w:rFonts w:ascii="Times" w:hAnsi="Times" w:cs="Times New Roman"/>
      <w:kern w:val="0"/>
      <w:sz w:val="24"/>
      <w:szCs w:val="20"/>
      <w:lang w:eastAsia="en-US"/>
    </w:rPr>
  </w:style>
  <w:style w:type="paragraph" w:customStyle="1" w:styleId="MainText">
    <w:name w:val="Main Text"/>
    <w:basedOn w:val="Normal"/>
    <w:link w:val="MainTextChar"/>
    <w:qFormat/>
    <w:pPr>
      <w:widowControl/>
      <w:spacing w:line="480" w:lineRule="auto"/>
      <w:jc w:val="left"/>
    </w:pPr>
    <w:rPr>
      <w:rFonts w:ascii="Times New Roman" w:eastAsia="MS Mincho" w:hAnsi="Times New Roman" w:cs="Times New Roman"/>
      <w:kern w:val="0"/>
      <w:sz w:val="24"/>
      <w:szCs w:val="24"/>
      <w:lang w:eastAsia="ja-JP"/>
    </w:rPr>
  </w:style>
  <w:style w:type="character" w:customStyle="1" w:styleId="MainTextChar">
    <w:name w:val="Main Text Char"/>
    <w:link w:val="MainText"/>
    <w:qFormat/>
    <w:rPr>
      <w:rFonts w:ascii="Times New Roman" w:eastAsia="MS Mincho" w:hAnsi="Times New Roman" w:cs="Times New Roman"/>
      <w:kern w:val="0"/>
      <w:sz w:val="24"/>
      <w:szCs w:val="24"/>
      <w:lang w:eastAsia="ja-JP"/>
    </w:rPr>
  </w:style>
  <w:style w:type="paragraph" w:customStyle="1" w:styleId="EndNoteBibliographyTitle">
    <w:name w:val="EndNote Bibliography Title"/>
    <w:basedOn w:val="Normal"/>
    <w:link w:val="EndNoteBibliographyTitleChar"/>
    <w:qFormat/>
    <w:pPr>
      <w:jc w:val="center"/>
    </w:pPr>
    <w:rPr>
      <w:rFonts w:ascii="Minion Pro" w:hAnsi="Minion Pro"/>
      <w:sz w:val="22"/>
    </w:rPr>
  </w:style>
  <w:style w:type="character" w:customStyle="1" w:styleId="EndNoteBibliographyTitleChar">
    <w:name w:val="EndNote Bibliography Title Char"/>
    <w:basedOn w:val="DefaultParagraphFont"/>
    <w:link w:val="EndNoteBibliographyTitle"/>
    <w:qFormat/>
    <w:rPr>
      <w:rFonts w:ascii="Minion Pro" w:hAnsi="Minion Pro"/>
      <w:sz w:val="22"/>
    </w:rPr>
  </w:style>
  <w:style w:type="paragraph" w:customStyle="1" w:styleId="EndNoteBibliography">
    <w:name w:val="EndNote Bibliography"/>
    <w:basedOn w:val="Normal"/>
    <w:link w:val="EndNoteBibliographyChar"/>
    <w:qFormat/>
    <w:rPr>
      <w:rFonts w:ascii="Minion Pro" w:hAnsi="Minion Pro"/>
      <w:sz w:val="22"/>
    </w:rPr>
  </w:style>
  <w:style w:type="character" w:customStyle="1" w:styleId="EndNoteBibliographyChar">
    <w:name w:val="EndNote Bibliography Char"/>
    <w:basedOn w:val="DefaultParagraphFont"/>
    <w:link w:val="EndNoteBibliography"/>
    <w:qFormat/>
    <w:rPr>
      <w:rFonts w:ascii="Minion Pro" w:hAnsi="Minion Pro"/>
      <w:sz w:val="22"/>
    </w:rPr>
  </w:style>
  <w:style w:type="character" w:customStyle="1" w:styleId="CommentTextChar">
    <w:name w:val="Comment Text Char"/>
    <w:basedOn w:val="DefaultParagraphFont"/>
    <w:link w:val="CommentText"/>
    <w:qFormat/>
    <w:rPr>
      <w:rFonts w:ascii="Times New Roman" w:eastAsia="宋体" w:hAnsi="Times New Roman" w:cs="Times New Roman"/>
      <w:sz w:val="24"/>
      <w:szCs w:val="24"/>
    </w:rPr>
  </w:style>
  <w:style w:type="paragraph" w:customStyle="1" w:styleId="TSP10doinum">
    <w:name w:val="TSP_1.0_doinum"/>
    <w:basedOn w:val="Normal"/>
    <w:qFormat/>
    <w:rsid w:val="00D01C08"/>
    <w:pPr>
      <w:widowControl/>
      <w:adjustRightInd w:val="0"/>
      <w:snapToGrid w:val="0"/>
      <w:spacing w:after="240"/>
      <w:jc w:val="left"/>
    </w:pPr>
    <w:rPr>
      <w:rFonts w:ascii="Minion Pro" w:hAnsi="Minion Pro" w:cs="Times New Roman"/>
      <w:color w:val="000000"/>
      <w:sz w:val="14"/>
      <w:szCs w:val="20"/>
      <w14:ligatures w14:val="standardContextual"/>
    </w:rPr>
  </w:style>
  <w:style w:type="paragraph" w:customStyle="1" w:styleId="TSP11articletype">
    <w:name w:val="TSP_1.1_article_type"/>
    <w:next w:val="Normal"/>
    <w:qFormat/>
    <w:rsid w:val="00D01C08"/>
    <w:pPr>
      <w:adjustRightInd w:val="0"/>
      <w:snapToGrid w:val="0"/>
      <w:spacing w:after="240" w:line="240" w:lineRule="atLeast"/>
    </w:pPr>
    <w:rPr>
      <w:rFonts w:ascii="Minion Pro" w:eastAsia="Times New Roman" w:hAnsi="Minion Pro" w:cs="Times New Roman"/>
      <w:b/>
      <w:caps/>
      <w:snapToGrid w:val="0"/>
      <w:color w:val="000000"/>
      <w:sz w:val="18"/>
      <w:szCs w:val="22"/>
      <w:u w:val="single"/>
      <w:lang w:eastAsia="de-DE" w:bidi="en-US"/>
    </w:rPr>
  </w:style>
  <w:style w:type="paragraph" w:customStyle="1" w:styleId="TSP15academiceditor">
    <w:name w:val="TSP_1.5_academic_editor"/>
    <w:qFormat/>
    <w:rsid w:val="00D01C08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color w:val="000000"/>
      <w:sz w:val="18"/>
      <w:szCs w:val="22"/>
      <w:lang w:eastAsia="de-DE" w:bidi="en-US"/>
    </w:rPr>
  </w:style>
  <w:style w:type="paragraph" w:customStyle="1" w:styleId="TSP17abstract">
    <w:name w:val="TSP_1.7_abstract"/>
    <w:next w:val="Normal"/>
    <w:qFormat/>
    <w:rsid w:val="00D01C08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color w:val="000000"/>
      <w:szCs w:val="22"/>
      <w:lang w:eastAsia="de-DE" w:bidi="en-US"/>
    </w:rPr>
  </w:style>
  <w:style w:type="paragraph" w:customStyle="1" w:styleId="TSP18keywords">
    <w:name w:val="TSP_1.8_keywords"/>
    <w:next w:val="Normal"/>
    <w:qFormat/>
    <w:rsid w:val="00D01C08"/>
    <w:pPr>
      <w:adjustRightInd w:val="0"/>
      <w:snapToGrid w:val="0"/>
      <w:spacing w:before="240" w:line="240" w:lineRule="atLeast"/>
      <w:jc w:val="both"/>
    </w:pPr>
    <w:rPr>
      <w:rFonts w:ascii="Minion Pro" w:eastAsia="Times New Roman" w:hAnsi="Minion Pro" w:cs="Times New Roman"/>
      <w:snapToGrid w:val="0"/>
      <w:color w:val="000000"/>
      <w:szCs w:val="22"/>
      <w:lang w:eastAsia="de-DE" w:bidi="en-US"/>
    </w:rPr>
  </w:style>
  <w:style w:type="paragraph" w:customStyle="1" w:styleId="TSP19classification">
    <w:name w:val="TSP_1.9_classification"/>
    <w:qFormat/>
    <w:rsid w:val="00D01C08"/>
    <w:pPr>
      <w:spacing w:before="240" w:line="240" w:lineRule="atLeast"/>
      <w:jc w:val="both"/>
    </w:pPr>
    <w:rPr>
      <w:rFonts w:ascii="Minion Pro" w:eastAsia="Times New Roman" w:hAnsi="Minion Pro" w:cs="Times New Roman"/>
      <w:b/>
      <w:color w:val="000000"/>
      <w:szCs w:val="22"/>
      <w:lang w:eastAsia="de-DE" w:bidi="en-US"/>
    </w:rPr>
  </w:style>
  <w:style w:type="paragraph" w:customStyle="1" w:styleId="TSP19line">
    <w:name w:val="TSP_1.9_line"/>
    <w:qFormat/>
    <w:rsid w:val="00D01C08"/>
    <w:pPr>
      <w:pBdr>
        <w:bottom w:val="single" w:sz="6" w:space="1" w:color="auto"/>
      </w:pBdr>
      <w:adjustRightInd w:val="0"/>
      <w:snapToGrid w:val="0"/>
      <w:spacing w:after="480" w:line="240" w:lineRule="atLeast"/>
      <w:jc w:val="both"/>
    </w:pPr>
    <w:rPr>
      <w:rFonts w:ascii="Minion Pro" w:eastAsia="Times New Roman" w:hAnsi="Minion Pro" w:cs="Cordia New"/>
      <w:color w:val="000000"/>
      <w:szCs w:val="24"/>
      <w:lang w:eastAsia="de-DE" w:bidi="en-US"/>
    </w:rPr>
  </w:style>
  <w:style w:type="paragraph" w:customStyle="1" w:styleId="TSP21heading1">
    <w:name w:val="TSP_2.1_heading1"/>
    <w:qFormat/>
    <w:rsid w:val="00D01C08"/>
    <w:pPr>
      <w:adjustRightInd w:val="0"/>
      <w:snapToGrid w:val="0"/>
      <w:spacing w:before="240" w:after="60" w:line="240" w:lineRule="atLeast"/>
      <w:outlineLvl w:val="0"/>
    </w:pPr>
    <w:rPr>
      <w:rFonts w:ascii="Minion Pro" w:eastAsia="Times New Roman" w:hAnsi="Minion Pro" w:cs="Times New Roman"/>
      <w:b/>
      <w:snapToGrid w:val="0"/>
      <w:color w:val="000000"/>
      <w:sz w:val="22"/>
      <w:szCs w:val="22"/>
      <w:lang w:eastAsia="de-DE" w:bidi="en-US"/>
    </w:rPr>
  </w:style>
  <w:style w:type="paragraph" w:customStyle="1" w:styleId="TSP22heading2">
    <w:name w:val="TSP_2.2_heading2"/>
    <w:qFormat/>
    <w:rsid w:val="00D01C08"/>
    <w:pPr>
      <w:adjustRightInd w:val="0"/>
      <w:snapToGrid w:val="0"/>
      <w:spacing w:before="60" w:after="60" w:line="240" w:lineRule="atLeast"/>
      <w:outlineLvl w:val="1"/>
    </w:pPr>
    <w:rPr>
      <w:rFonts w:ascii="Minion Pro" w:eastAsia="Times New Roman" w:hAnsi="Minion Pro" w:cs="Times New Roman"/>
      <w:b/>
      <w:i/>
      <w:noProof/>
      <w:snapToGrid w:val="0"/>
      <w:color w:val="000000"/>
      <w:sz w:val="22"/>
      <w:szCs w:val="22"/>
      <w:lang w:eastAsia="de-DE" w:bidi="en-US"/>
    </w:rPr>
  </w:style>
  <w:style w:type="paragraph" w:customStyle="1" w:styleId="TSP24heading4">
    <w:name w:val="TSP_2.4_heading4"/>
    <w:basedOn w:val="TSP23heading3"/>
    <w:qFormat/>
    <w:rsid w:val="00D01C08"/>
    <w:pPr>
      <w:outlineLvl w:val="3"/>
    </w:pPr>
    <w:rPr>
      <w:i w:val="0"/>
    </w:rPr>
  </w:style>
  <w:style w:type="paragraph" w:customStyle="1" w:styleId="TSP32textnoindent">
    <w:name w:val="TSP_3.2_text_no_indent"/>
    <w:basedOn w:val="TSP31text"/>
    <w:qFormat/>
    <w:rsid w:val="00D01C08"/>
    <w:pPr>
      <w:ind w:firstLine="0"/>
    </w:pPr>
  </w:style>
  <w:style w:type="paragraph" w:customStyle="1" w:styleId="TSP33textspaceafter">
    <w:name w:val="TSP_3.3_text_space_after"/>
    <w:qFormat/>
    <w:rsid w:val="00D01C08"/>
    <w:pPr>
      <w:adjustRightInd w:val="0"/>
      <w:snapToGrid w:val="0"/>
      <w:spacing w:after="24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34textspacebefore">
    <w:name w:val="TSP_3.4_text_space_before"/>
    <w:qFormat/>
    <w:rsid w:val="00D01C08"/>
    <w:pPr>
      <w:adjustRightInd w:val="0"/>
      <w:snapToGrid w:val="0"/>
      <w:spacing w:before="24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35textbeforelist">
    <w:name w:val="TSP_3.5_text_before_list"/>
    <w:qFormat/>
    <w:rsid w:val="00D01C08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36textafterlist">
    <w:name w:val="TSP_3.6_text_after_list"/>
    <w:qFormat/>
    <w:rsid w:val="00D01C08"/>
    <w:pPr>
      <w:adjustRightInd w:val="0"/>
      <w:snapToGrid w:val="0"/>
      <w:spacing w:before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37itemize">
    <w:name w:val="TSP_3.7_itemize"/>
    <w:qFormat/>
    <w:rsid w:val="00D01C08"/>
    <w:pPr>
      <w:numPr>
        <w:numId w:val="1"/>
      </w:numPr>
      <w:adjustRightInd w:val="0"/>
      <w:snapToGrid w:val="0"/>
      <w:spacing w:line="228" w:lineRule="auto"/>
      <w:jc w:val="both"/>
    </w:pPr>
    <w:rPr>
      <w:rFonts w:ascii="Minion Pro" w:eastAsia="Times New Roman" w:hAnsi="Minion Pro" w:cs="Times New Roman"/>
      <w:color w:val="000000"/>
      <w:sz w:val="22"/>
      <w:szCs w:val="22"/>
      <w:lang w:eastAsia="de-DE" w:bidi="en-US"/>
    </w:rPr>
  </w:style>
  <w:style w:type="paragraph" w:customStyle="1" w:styleId="TSP38bullet">
    <w:name w:val="TSP_3.8_bullet"/>
    <w:qFormat/>
    <w:rsid w:val="00D01C08"/>
    <w:pPr>
      <w:numPr>
        <w:numId w:val="2"/>
      </w:numPr>
      <w:adjustRightInd w:val="0"/>
      <w:snapToGrid w:val="0"/>
      <w:spacing w:line="228" w:lineRule="auto"/>
      <w:jc w:val="both"/>
    </w:pPr>
    <w:rPr>
      <w:rFonts w:ascii="Minion Pro" w:eastAsia="Times New Roman" w:hAnsi="Minion Pro" w:cs="Times New Roman"/>
      <w:color w:val="000000"/>
      <w:sz w:val="22"/>
      <w:szCs w:val="22"/>
      <w:lang w:eastAsia="de-DE" w:bidi="en-US"/>
    </w:rPr>
  </w:style>
  <w:style w:type="paragraph" w:customStyle="1" w:styleId="TSP39equation">
    <w:name w:val="TSP_3.9_equation"/>
    <w:qFormat/>
    <w:rsid w:val="00D01C08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3aequationnumber">
    <w:name w:val="TSP_3.a_equation_number"/>
    <w:qFormat/>
    <w:rsid w:val="00D01C08"/>
    <w:pPr>
      <w:spacing w:before="120" w:after="120" w:line="240" w:lineRule="atLeast"/>
      <w:jc w:val="right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411onetablecaption">
    <w:name w:val="TSP_4.1.1_one_table_caption"/>
    <w:qFormat/>
    <w:rsid w:val="00D01C08"/>
    <w:pPr>
      <w:adjustRightInd w:val="0"/>
      <w:snapToGrid w:val="0"/>
      <w:spacing w:before="240" w:after="120" w:line="240" w:lineRule="atLeast"/>
      <w:jc w:val="center"/>
    </w:pPr>
    <w:rPr>
      <w:rFonts w:ascii="Minion Pro" w:eastAsia="宋体" w:hAnsi="Minion Pro" w:cs="Cordia New"/>
      <w:noProof/>
      <w:color w:val="000000"/>
      <w:szCs w:val="22"/>
      <w:lang w:bidi="en-US"/>
    </w:rPr>
  </w:style>
  <w:style w:type="paragraph" w:customStyle="1" w:styleId="TSP41tablecaption">
    <w:name w:val="TSP_4.1_table_caption"/>
    <w:qFormat/>
    <w:rsid w:val="00D01C08"/>
    <w:pPr>
      <w:adjustRightInd w:val="0"/>
      <w:snapToGrid w:val="0"/>
      <w:spacing w:before="240" w:after="120" w:line="240" w:lineRule="atLeast"/>
      <w:jc w:val="both"/>
    </w:pPr>
    <w:rPr>
      <w:rFonts w:ascii="Minion Pro" w:eastAsia="Times New Roman" w:hAnsi="Minion Pro" w:cs="Cordia New"/>
      <w:color w:val="000000"/>
      <w:szCs w:val="22"/>
      <w:lang w:eastAsia="de-DE" w:bidi="en-US"/>
    </w:rPr>
  </w:style>
  <w:style w:type="paragraph" w:customStyle="1" w:styleId="TSP43tablefooter">
    <w:name w:val="TSP_4.3_table_footer"/>
    <w:next w:val="TSP31text"/>
    <w:qFormat/>
    <w:rsid w:val="00D01C08"/>
    <w:pPr>
      <w:adjustRightInd w:val="0"/>
      <w:snapToGrid w:val="0"/>
      <w:spacing w:after="240" w:line="240" w:lineRule="atLeast"/>
      <w:jc w:val="both"/>
    </w:pPr>
    <w:rPr>
      <w:rFonts w:ascii="Minion Pro" w:eastAsia="Times New Roman" w:hAnsi="Minion Pro" w:cs="Cordia New"/>
      <w:color w:val="000000"/>
      <w:szCs w:val="22"/>
      <w:lang w:eastAsia="de-DE" w:bidi="en-US"/>
    </w:rPr>
  </w:style>
  <w:style w:type="paragraph" w:customStyle="1" w:styleId="TSP511onefigurecaption">
    <w:name w:val="TSP_5.1.1_one_figure_caption"/>
    <w:qFormat/>
    <w:rsid w:val="00D01C08"/>
    <w:pPr>
      <w:adjustRightInd w:val="0"/>
      <w:snapToGrid w:val="0"/>
      <w:spacing w:before="120" w:after="240" w:line="240" w:lineRule="atLeast"/>
      <w:jc w:val="center"/>
    </w:pPr>
    <w:rPr>
      <w:rFonts w:ascii="Minion Pro" w:eastAsia="宋体" w:hAnsi="Minion Pro" w:cs="Times New Roman"/>
      <w:noProof/>
      <w:color w:val="000000"/>
      <w:lang w:bidi="en-US"/>
    </w:rPr>
  </w:style>
  <w:style w:type="paragraph" w:customStyle="1" w:styleId="TSP52figure">
    <w:name w:val="TSP_5.2_figure"/>
    <w:qFormat/>
    <w:rsid w:val="00D01C08"/>
    <w:pPr>
      <w:adjustRightInd w:val="0"/>
      <w:snapToGrid w:val="0"/>
      <w:spacing w:before="240" w:after="120" w:line="240" w:lineRule="atLeast"/>
      <w:jc w:val="center"/>
    </w:pPr>
    <w:rPr>
      <w:rFonts w:ascii="Minion Pro" w:eastAsia="Times New Roman" w:hAnsi="Minion Pro" w:cs="Times New Roman"/>
      <w:snapToGrid w:val="0"/>
      <w:color w:val="000000"/>
      <w:lang w:eastAsia="de-DE" w:bidi="en-US"/>
    </w:rPr>
  </w:style>
  <w:style w:type="paragraph" w:customStyle="1" w:styleId="TSP61Citation">
    <w:name w:val="TSP_6.1_Citation"/>
    <w:qFormat/>
    <w:rsid w:val="00D01C08"/>
    <w:pPr>
      <w:adjustRightInd w:val="0"/>
      <w:snapToGrid w:val="0"/>
      <w:spacing w:line="240" w:lineRule="atLeast"/>
    </w:pPr>
    <w:rPr>
      <w:rFonts w:ascii="Minion Pro" w:eastAsia="宋体" w:hAnsi="Minion Pro" w:cs="Cordia New"/>
      <w:sz w:val="22"/>
      <w:szCs w:val="22"/>
    </w:rPr>
  </w:style>
  <w:style w:type="paragraph" w:customStyle="1" w:styleId="TSP62BackMatter">
    <w:name w:val="TSP_6.2_BackMatter"/>
    <w:qFormat/>
    <w:rsid w:val="00D01C08"/>
    <w:pPr>
      <w:adjustRightInd w:val="0"/>
      <w:snapToGrid w:val="0"/>
      <w:spacing w:before="120" w:after="120" w:line="240" w:lineRule="atLeast"/>
      <w:jc w:val="both"/>
    </w:pPr>
    <w:rPr>
      <w:rFonts w:ascii="Minion Pro" w:eastAsia="Times New Roman" w:hAnsi="Minion Pro" w:cs="Times New Roman"/>
      <w:snapToGrid w:val="0"/>
      <w:color w:val="000000"/>
      <w:lang w:eastAsia="en-US" w:bidi="en-US"/>
    </w:rPr>
  </w:style>
  <w:style w:type="paragraph" w:customStyle="1" w:styleId="TSP63Notes">
    <w:name w:val="TSP_6.3_Notes"/>
    <w:qFormat/>
    <w:rsid w:val="00D01C08"/>
    <w:pPr>
      <w:adjustRightInd w:val="0"/>
      <w:snapToGrid w:val="0"/>
      <w:spacing w:before="60" w:after="60" w:line="228" w:lineRule="auto"/>
      <w:jc w:val="both"/>
    </w:pPr>
    <w:rPr>
      <w:rFonts w:ascii="Minion Pro" w:eastAsia="宋体" w:hAnsi="Minion Pro" w:cs="Times New Roman"/>
      <w:snapToGrid w:val="0"/>
      <w:color w:val="000000"/>
      <w:sz w:val="18"/>
      <w:lang w:eastAsia="en-US" w:bidi="en-US"/>
    </w:rPr>
  </w:style>
  <w:style w:type="paragraph" w:customStyle="1" w:styleId="TSP71FootNotes">
    <w:name w:val="TSP_7.1_FootNotes"/>
    <w:qFormat/>
    <w:rsid w:val="00D01C08"/>
    <w:pPr>
      <w:numPr>
        <w:numId w:val="5"/>
      </w:numPr>
      <w:adjustRightInd w:val="0"/>
      <w:snapToGrid w:val="0"/>
      <w:spacing w:before="60" w:after="60" w:line="228" w:lineRule="auto"/>
      <w:jc w:val="both"/>
    </w:pPr>
    <w:rPr>
      <w:rFonts w:ascii="Minion Pro" w:eastAsia="宋体" w:hAnsi="Minion Pro" w:cs="Times New Roman"/>
      <w:noProof/>
      <w:color w:val="000000"/>
      <w:sz w:val="18"/>
    </w:rPr>
  </w:style>
  <w:style w:type="paragraph" w:customStyle="1" w:styleId="TSP71References">
    <w:name w:val="TSP_7.1_References"/>
    <w:qFormat/>
    <w:rsid w:val="00D01C08"/>
    <w:pPr>
      <w:numPr>
        <w:numId w:val="4"/>
      </w:numPr>
      <w:adjustRightInd w:val="0"/>
      <w:snapToGrid w:val="0"/>
      <w:spacing w:line="228" w:lineRule="auto"/>
      <w:jc w:val="both"/>
    </w:pPr>
    <w:rPr>
      <w:rFonts w:ascii="Minion Pro" w:eastAsia="等线" w:hAnsi="Minion Pro" w:cs="Times New Roman"/>
      <w:color w:val="000000"/>
      <w:lang w:eastAsia="de-DE" w:bidi="en-US"/>
    </w:rPr>
  </w:style>
  <w:style w:type="paragraph" w:customStyle="1" w:styleId="TSP72Copyright">
    <w:name w:val="TSP_7.2_Copyright"/>
    <w:qFormat/>
    <w:rsid w:val="00D01C08"/>
    <w:pPr>
      <w:adjustRightInd w:val="0"/>
      <w:snapToGrid w:val="0"/>
      <w:spacing w:line="228" w:lineRule="auto"/>
      <w:jc w:val="both"/>
    </w:pPr>
    <w:rPr>
      <w:rFonts w:ascii="Minion Pro" w:eastAsia="Times New Roman" w:hAnsi="Minion Pro" w:cs="Times New Roman"/>
      <w:noProof/>
      <w:snapToGrid w:val="0"/>
      <w:color w:val="000000"/>
      <w:sz w:val="18"/>
      <w:lang w:val="en-GB" w:eastAsia="en-GB"/>
    </w:rPr>
  </w:style>
  <w:style w:type="paragraph" w:customStyle="1" w:styleId="TSP73CopyrightImage">
    <w:name w:val="TSP_7.3_CopyrightImage"/>
    <w:qFormat/>
    <w:rsid w:val="00D01C08"/>
    <w:pPr>
      <w:adjustRightInd w:val="0"/>
      <w:snapToGrid w:val="0"/>
      <w:spacing w:before="20" w:line="228" w:lineRule="auto"/>
    </w:pPr>
    <w:rPr>
      <w:rFonts w:ascii="Minion Pro" w:eastAsia="Times New Roman" w:hAnsi="Minion Pro" w:cs="Times New Roman"/>
      <w:color w:val="000000"/>
      <w:sz w:val="18"/>
      <w:lang w:eastAsia="de-CH"/>
    </w:rPr>
  </w:style>
  <w:style w:type="paragraph" w:customStyle="1" w:styleId="TSP81theorem">
    <w:name w:val="TSP_8.1_theorem"/>
    <w:qFormat/>
    <w:rsid w:val="00D01C08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i/>
      <w:snapToGrid w:val="0"/>
      <w:color w:val="000000"/>
      <w:sz w:val="22"/>
      <w:szCs w:val="22"/>
      <w:lang w:eastAsia="de-DE" w:bidi="en-US"/>
    </w:rPr>
  </w:style>
  <w:style w:type="paragraph" w:customStyle="1" w:styleId="TSP82proof">
    <w:name w:val="TSP_8.2_proof"/>
    <w:qFormat/>
    <w:rsid w:val="00D01C08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equationFram">
    <w:name w:val="TSP_equationFram"/>
    <w:qFormat/>
    <w:rsid w:val="00D01C08"/>
    <w:pPr>
      <w:adjustRightInd w:val="0"/>
      <w:snapToGrid w:val="0"/>
      <w:spacing w:before="120" w:after="120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footer">
    <w:name w:val="TSP_footer"/>
    <w:qFormat/>
    <w:rsid w:val="00D01C08"/>
    <w:pPr>
      <w:adjustRightInd w:val="0"/>
      <w:snapToGrid w:val="0"/>
      <w:spacing w:line="228" w:lineRule="auto"/>
      <w:jc w:val="both"/>
    </w:pPr>
    <w:rPr>
      <w:rFonts w:ascii="Minion Pro" w:eastAsia="Times New Roman" w:hAnsi="Minion Pro" w:cs="Times New Roman"/>
      <w:color w:val="000000"/>
      <w:sz w:val="16"/>
      <w:lang w:eastAsia="de-DE"/>
    </w:rPr>
  </w:style>
  <w:style w:type="paragraph" w:customStyle="1" w:styleId="TSPfooterfirstpage">
    <w:name w:val="TSP_footer_firstpage"/>
    <w:qFormat/>
    <w:rsid w:val="00D01C08"/>
    <w:pPr>
      <w:tabs>
        <w:tab w:val="right" w:pos="8845"/>
      </w:tabs>
      <w:suppressAutoHyphens/>
      <w:snapToGrid w:val="0"/>
      <w:spacing w:line="228" w:lineRule="auto"/>
      <w:jc w:val="both"/>
    </w:pPr>
    <w:rPr>
      <w:rFonts w:ascii="Minion Pro" w:eastAsia="Times New Roman" w:hAnsi="Minion Pro" w:cs="Times New Roman"/>
      <w:color w:val="000000"/>
      <w:sz w:val="16"/>
      <w:lang w:eastAsia="de-DE"/>
    </w:rPr>
  </w:style>
  <w:style w:type="paragraph" w:customStyle="1" w:styleId="TSPheader">
    <w:name w:val="TSP_header"/>
    <w:qFormat/>
    <w:rsid w:val="00D01C08"/>
    <w:pPr>
      <w:adjustRightInd w:val="0"/>
      <w:snapToGrid w:val="0"/>
      <w:spacing w:line="228" w:lineRule="auto"/>
      <w:jc w:val="both"/>
    </w:pPr>
    <w:rPr>
      <w:rFonts w:ascii="Minion Pro" w:eastAsia="Times New Roman" w:hAnsi="Minion Pro" w:cs="Times New Roman"/>
      <w:iCs/>
      <w:color w:val="000000"/>
      <w:sz w:val="16"/>
      <w:lang w:eastAsia="de-DE"/>
    </w:rPr>
  </w:style>
  <w:style w:type="paragraph" w:customStyle="1" w:styleId="TSPheadercitation">
    <w:name w:val="TSP_header_citation"/>
    <w:qFormat/>
    <w:rsid w:val="00D01C08"/>
    <w:pPr>
      <w:spacing w:line="228" w:lineRule="auto"/>
    </w:pPr>
    <w:rPr>
      <w:rFonts w:ascii="Minion Pro" w:eastAsia="Times New Roman" w:hAnsi="Minion Pro" w:cs="Times New Roman"/>
      <w:snapToGrid w:val="0"/>
      <w:color w:val="000000"/>
      <w:sz w:val="16"/>
      <w:lang w:eastAsia="de-DE" w:bidi="en-US"/>
    </w:rPr>
  </w:style>
  <w:style w:type="paragraph" w:customStyle="1" w:styleId="TSPheaderjournallogo">
    <w:name w:val="TSP_header_journal_logo"/>
    <w:qFormat/>
    <w:rsid w:val="00D01C08"/>
    <w:pPr>
      <w:adjustRightInd w:val="0"/>
      <w:snapToGrid w:val="0"/>
      <w:spacing w:line="240" w:lineRule="atLeast"/>
    </w:pPr>
    <w:rPr>
      <w:rFonts w:ascii="Minion Pro" w:eastAsia="Times New Roman" w:hAnsi="Minion Pro" w:cs="Times New Roman"/>
      <w:color w:val="000000"/>
      <w:sz w:val="22"/>
      <w:szCs w:val="22"/>
      <w:lang w:eastAsia="de-CH"/>
    </w:rPr>
  </w:style>
  <w:style w:type="paragraph" w:customStyle="1" w:styleId="TSPtext">
    <w:name w:val="TSP_text"/>
    <w:qFormat/>
    <w:rsid w:val="00D01C08"/>
    <w:pPr>
      <w:snapToGrid w:val="0"/>
      <w:spacing w:line="240" w:lineRule="atLeast"/>
      <w:ind w:firstLine="425"/>
      <w:jc w:val="both"/>
    </w:pPr>
    <w:rPr>
      <w:rFonts w:ascii="Minion Pro" w:eastAsia="Times New Roman" w:hAnsi="Minion Pro" w:cs="Times New Roman"/>
      <w:noProof/>
      <w:snapToGrid w:val="0"/>
      <w:color w:val="000000"/>
      <w:sz w:val="22"/>
      <w:szCs w:val="22"/>
      <w:lang w:eastAsia="de-DE" w:bidi="en-US"/>
    </w:rPr>
  </w:style>
  <w:style w:type="paragraph" w:customStyle="1" w:styleId="TSPtitle">
    <w:name w:val="TSP_title"/>
    <w:qFormat/>
    <w:rsid w:val="00D01C08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b/>
      <w:snapToGrid w:val="0"/>
      <w:color w:val="000000"/>
      <w:sz w:val="28"/>
      <w:lang w:eastAsia="de-DE" w:bidi="en-US"/>
    </w:rPr>
  </w:style>
  <w:style w:type="paragraph" w:customStyle="1" w:styleId="MsoFootnoteText0">
    <w:name w:val="MsoFootnoteText"/>
    <w:basedOn w:val="NormalWeb"/>
    <w:qFormat/>
    <w:rsid w:val="00D01C08"/>
    <w:pPr>
      <w:widowControl/>
      <w:spacing w:line="280" w:lineRule="atLeast"/>
    </w:pPr>
    <w:rPr>
      <w:rFonts w:eastAsia="宋体"/>
      <w:color w:val="000000"/>
      <w:kern w:val="0"/>
      <w:sz w:val="20"/>
    </w:rPr>
  </w:style>
  <w:style w:type="paragraph" w:styleId="NormalWeb">
    <w:name w:val="Normal (Web)"/>
    <w:basedOn w:val="Normal"/>
    <w:uiPriority w:val="99"/>
    <w:semiHidden/>
    <w:unhideWhenUsed/>
    <w:rsid w:val="00D01C08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11" Type="http://schemas.openxmlformats.org/officeDocument/2006/relationships/theme" Target="theme/theme1.xml"/><Relationship Id="rId5" Type="http://schemas.openxmlformats.org/officeDocument/2006/relationships/image" Target="media/image1.tif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tif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5</Pages>
  <Words>835</Words>
  <Characters>4763</Characters>
  <Application>Microsoft Office Word</Application>
  <DocSecurity>0</DocSecurity>
  <Lines>39</Lines>
  <Paragraphs>11</Paragraphs>
  <ScaleCrop>false</ScaleCrop>
  <Company>微软中国</Company>
  <LinksUpToDate>false</LinksUpToDate>
  <CharactersWithSpaces>5587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Production Team</cp:lastModifiedBy>
  <cp:revision>46</cp:revision>
  <dcterms:created xsi:type="dcterms:W3CDTF">2026-04-22T02:25:00Z</dcterms:created>
  <dcterms:modified xsi:type="dcterms:W3CDTF">2026-05-18T02:39:00Z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eyJoZGlkIjoiMzQ4ZTE0NWZkNDU4NGIxYzhiZjAxNTIwZDE0NTA5NDYiLCJ1c2VySWQiOiI3MzYyMjM5MTYifQ==</vt:lpwstr>
  </property>
  <property fmtid="{D5CDD505-2E9C-101B-9397-08002B2CF9AE}" pid="3" name="KSOProductBuildVer">
    <vt:lpwstr>2052-12.1.0.25225</vt:lpwstr>
  </property>
  <property fmtid="{D5CDD505-2E9C-101B-9397-08002B2CF9AE}" pid="4" name="ICV">
    <vt:lpwstr>92FEAC5DBCE1495D95BA6D0DF3826FFF_12</vt:lpwstr>
  </property>
</Properties>
</file>